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D7" w:rsidRDefault="00D23BD7" w:rsidP="00D23BD7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262255</wp:posOffset>
            </wp:positionV>
            <wp:extent cx="1061720" cy="1257300"/>
            <wp:effectExtent l="0" t="0" r="5080" b="0"/>
            <wp:wrapTight wrapText="bothSides">
              <wp:wrapPolygon edited="0">
                <wp:start x="0" y="0"/>
                <wp:lineTo x="0" y="16364"/>
                <wp:lineTo x="5426" y="20945"/>
                <wp:lineTo x="7364" y="21273"/>
                <wp:lineTo x="13952" y="21273"/>
                <wp:lineTo x="15890" y="20945"/>
                <wp:lineTo x="21316" y="16364"/>
                <wp:lineTo x="21316" y="0"/>
                <wp:lineTo x="0" y="0"/>
              </wp:wrapPolygon>
            </wp:wrapTight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263525</wp:posOffset>
            </wp:positionV>
            <wp:extent cx="1276350" cy="862965"/>
            <wp:effectExtent l="0" t="0" r="0" b="0"/>
            <wp:wrapTight wrapText="bothSides">
              <wp:wrapPolygon edited="0">
                <wp:start x="0" y="0"/>
                <wp:lineTo x="0" y="20980"/>
                <wp:lineTo x="21278" y="20980"/>
                <wp:lineTo x="2127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D7" w:rsidRDefault="00D23BD7" w:rsidP="00D23BD7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3BD7" w:rsidRDefault="00D23BD7" w:rsidP="00D23BD7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3BD7" w:rsidRDefault="00D23BD7" w:rsidP="00D23BD7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3BD7" w:rsidRDefault="00D23BD7" w:rsidP="00D23BD7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3BD7" w:rsidRDefault="00D23BD7" w:rsidP="00D23BD7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3BD7" w:rsidRDefault="00D23BD7" w:rsidP="00D23BD7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3BD7" w:rsidRDefault="00D23BD7" w:rsidP="00D23BD7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3BD7" w:rsidRDefault="00D23BD7" w:rsidP="00D23BD7">
      <w:pPr>
        <w:widowControl/>
        <w:autoSpaceDE/>
        <w:adjustRightInd/>
        <w:ind w:firstLine="524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3BD7" w:rsidRDefault="00D23BD7" w:rsidP="00D23BD7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3BD7" w:rsidRDefault="00D23BD7" w:rsidP="00D23BD7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3BD7" w:rsidRDefault="00D23BD7" w:rsidP="00D23BD7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4976" w:rsidRDefault="00894976" w:rsidP="00894976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  <w:r w:rsidRPr="00894976">
        <w:rPr>
          <w:rFonts w:eastAsiaTheme="minorHAnsi"/>
          <w:b/>
          <w:sz w:val="32"/>
          <w:szCs w:val="22"/>
          <w:lang w:eastAsia="en-US"/>
        </w:rPr>
        <w:t>Informacja o realizacji zadań</w:t>
      </w:r>
    </w:p>
    <w:p w:rsidR="00894976" w:rsidRDefault="00894976" w:rsidP="00894976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  <w:r w:rsidRPr="00894976">
        <w:rPr>
          <w:rFonts w:eastAsiaTheme="minorHAnsi"/>
          <w:b/>
          <w:sz w:val="32"/>
          <w:szCs w:val="22"/>
          <w:lang w:eastAsia="en-US"/>
        </w:rPr>
        <w:t>przez Powiatowy Urząd Pracy w Pleszewie</w:t>
      </w:r>
    </w:p>
    <w:p w:rsidR="00D23BD7" w:rsidRPr="00894976" w:rsidRDefault="00894976" w:rsidP="00894976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  <w:r w:rsidRPr="00894976">
        <w:rPr>
          <w:rFonts w:eastAsiaTheme="minorHAnsi"/>
          <w:b/>
          <w:sz w:val="32"/>
          <w:szCs w:val="22"/>
          <w:lang w:eastAsia="en-US"/>
        </w:rPr>
        <w:t>oraz sytuacji na rynku pracy.</w:t>
      </w:r>
    </w:p>
    <w:p w:rsidR="00894976" w:rsidRDefault="00894976" w:rsidP="00D23BD7">
      <w:pPr>
        <w:widowControl/>
        <w:autoSpaceDE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94976" w:rsidRDefault="00894976" w:rsidP="00D23BD7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:rsidR="00D23BD7" w:rsidRPr="00894976" w:rsidRDefault="00D23BD7" w:rsidP="00894976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lang w:eastAsia="en-US"/>
        </w:rPr>
      </w:pPr>
      <w:r w:rsidRPr="00894976">
        <w:rPr>
          <w:rFonts w:eastAsiaTheme="minorHAnsi"/>
          <w:b/>
          <w:lang w:eastAsia="en-US"/>
        </w:rPr>
        <w:t>Sprawozdanie z realizacji Programu promocji zatrudnienia</w:t>
      </w:r>
      <w:r w:rsidR="00894976" w:rsidRPr="00894976">
        <w:rPr>
          <w:rFonts w:eastAsiaTheme="minorHAnsi"/>
          <w:b/>
          <w:lang w:eastAsia="en-US"/>
        </w:rPr>
        <w:t xml:space="preserve"> </w:t>
      </w:r>
      <w:r w:rsidRPr="00894976">
        <w:rPr>
          <w:rFonts w:eastAsiaTheme="minorHAnsi"/>
          <w:b/>
          <w:lang w:eastAsia="en-US"/>
        </w:rPr>
        <w:t>oraz aktywizacji lokalnego rynku pracy</w:t>
      </w:r>
    </w:p>
    <w:p w:rsidR="00D23BD7" w:rsidRPr="00894976" w:rsidRDefault="00D23BD7" w:rsidP="00894976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lang w:eastAsia="en-US"/>
        </w:rPr>
      </w:pPr>
      <w:r w:rsidRPr="00894976">
        <w:rPr>
          <w:rFonts w:eastAsiaTheme="minorHAnsi"/>
          <w:b/>
          <w:lang w:eastAsia="en-US"/>
        </w:rPr>
        <w:t>w Powiecie Pleszewskim w latach 2016 – 2020</w:t>
      </w:r>
      <w:r w:rsidR="00894976" w:rsidRPr="00894976">
        <w:rPr>
          <w:rFonts w:eastAsiaTheme="minorHAnsi"/>
          <w:b/>
          <w:lang w:eastAsia="en-US"/>
        </w:rPr>
        <w:t xml:space="preserve"> </w:t>
      </w:r>
      <w:r w:rsidR="002F1897">
        <w:rPr>
          <w:rFonts w:eastAsiaTheme="minorHAnsi"/>
          <w:b/>
          <w:lang w:eastAsia="en-US"/>
        </w:rPr>
        <w:t>za rok 2019</w:t>
      </w:r>
      <w:r w:rsidRPr="00894976">
        <w:rPr>
          <w:rFonts w:eastAsiaTheme="minorHAnsi"/>
          <w:b/>
          <w:lang w:eastAsia="en-US"/>
        </w:rPr>
        <w:t>.</w:t>
      </w:r>
    </w:p>
    <w:p w:rsidR="00D23BD7" w:rsidRPr="00593361" w:rsidRDefault="00D23BD7" w:rsidP="00D23BD7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:rsidR="00D23BD7" w:rsidRPr="00593361" w:rsidRDefault="00D23BD7" w:rsidP="00D23BD7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:rsidR="00D23BD7" w:rsidRPr="00593361" w:rsidRDefault="00D23BD7" w:rsidP="00894976">
      <w:pPr>
        <w:widowControl/>
        <w:autoSpaceDE/>
        <w:adjustRightInd/>
        <w:spacing w:after="200" w:line="276" w:lineRule="auto"/>
        <w:rPr>
          <w:rFonts w:eastAsiaTheme="minorHAnsi"/>
          <w:b/>
          <w:sz w:val="32"/>
          <w:szCs w:val="22"/>
          <w:lang w:eastAsia="en-US"/>
        </w:rPr>
      </w:pPr>
    </w:p>
    <w:p w:rsidR="00D23BD7" w:rsidRPr="00593361" w:rsidRDefault="00D23BD7" w:rsidP="00D23BD7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:rsidR="00D23BD7" w:rsidRPr="00593361" w:rsidRDefault="00D23BD7" w:rsidP="00D23BD7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:rsidR="00D23BD7" w:rsidRPr="00593361" w:rsidRDefault="00D23BD7" w:rsidP="00D23BD7">
      <w:pPr>
        <w:widowControl/>
        <w:autoSpaceDE/>
        <w:adjustRightInd/>
        <w:spacing w:after="200" w:line="276" w:lineRule="auto"/>
        <w:jc w:val="center"/>
        <w:rPr>
          <w:rFonts w:eastAsiaTheme="minorHAnsi"/>
          <w:b/>
          <w:sz w:val="32"/>
          <w:szCs w:val="22"/>
          <w:lang w:eastAsia="en-US"/>
        </w:rPr>
      </w:pPr>
    </w:p>
    <w:p w:rsidR="004C5BA5" w:rsidRDefault="004C5BA5">
      <w:pPr>
        <w:rPr>
          <w:rFonts w:eastAsiaTheme="minorHAnsi"/>
          <w:b/>
          <w:sz w:val="32"/>
          <w:szCs w:val="22"/>
          <w:lang w:eastAsia="en-US"/>
        </w:rPr>
      </w:pPr>
    </w:p>
    <w:p w:rsidR="00E826F9" w:rsidRPr="00593361" w:rsidRDefault="009C0D0B" w:rsidP="009C0D0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Pleszew</w:t>
      </w:r>
      <w:r w:rsidR="002F1897">
        <w:rPr>
          <w:rFonts w:eastAsiaTheme="minorHAnsi"/>
          <w:b/>
          <w:sz w:val="28"/>
          <w:szCs w:val="30"/>
          <w:lang w:eastAsia="en-US"/>
        </w:rPr>
        <w:t xml:space="preserve"> 2020</w:t>
      </w:r>
      <w:r>
        <w:rPr>
          <w:rFonts w:eastAsiaTheme="minorHAnsi"/>
          <w:b/>
          <w:sz w:val="28"/>
          <w:szCs w:val="30"/>
          <w:lang w:eastAsia="en-US"/>
        </w:rPr>
        <w:t xml:space="preserve"> r.</w:t>
      </w:r>
    </w:p>
    <w:p w:rsidR="004C5BA5" w:rsidRPr="00593361" w:rsidRDefault="004C5BA5">
      <w:pPr>
        <w:rPr>
          <w:rFonts w:eastAsiaTheme="minorHAnsi"/>
          <w:b/>
          <w:sz w:val="28"/>
          <w:szCs w:val="30"/>
          <w:lang w:eastAsia="en-US"/>
        </w:rPr>
      </w:pPr>
    </w:p>
    <w:p w:rsidR="004C5BA5" w:rsidRPr="00593361" w:rsidRDefault="004C5BA5">
      <w:pPr>
        <w:rPr>
          <w:rFonts w:eastAsiaTheme="minorHAnsi"/>
          <w:b/>
          <w:sz w:val="28"/>
          <w:szCs w:val="30"/>
          <w:lang w:eastAsia="en-US"/>
        </w:rPr>
      </w:pPr>
    </w:p>
    <w:p w:rsidR="004C5BA5" w:rsidRDefault="00593361" w:rsidP="00CE3E2A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I</w:t>
      </w:r>
      <w:r w:rsidR="00A6534D">
        <w:rPr>
          <w:rFonts w:eastAsiaTheme="minorHAnsi"/>
          <w:b/>
          <w:sz w:val="28"/>
          <w:szCs w:val="30"/>
          <w:lang w:eastAsia="en-US"/>
        </w:rPr>
        <w:t>.</w:t>
      </w:r>
      <w:r>
        <w:rPr>
          <w:rFonts w:eastAsiaTheme="minorHAnsi"/>
          <w:b/>
          <w:sz w:val="28"/>
          <w:szCs w:val="30"/>
          <w:lang w:eastAsia="en-US"/>
        </w:rPr>
        <w:t xml:space="preserve"> </w:t>
      </w:r>
      <w:r w:rsidR="00CE3E2A">
        <w:rPr>
          <w:rFonts w:eastAsiaTheme="minorHAnsi"/>
          <w:b/>
          <w:sz w:val="28"/>
          <w:szCs w:val="30"/>
          <w:lang w:eastAsia="en-US"/>
        </w:rPr>
        <w:t>ANALIZA BEZROBOCIA</w:t>
      </w:r>
      <w:r>
        <w:rPr>
          <w:rFonts w:eastAsiaTheme="minorHAnsi"/>
          <w:b/>
          <w:sz w:val="28"/>
          <w:szCs w:val="30"/>
          <w:lang w:eastAsia="en-US"/>
        </w:rPr>
        <w:t xml:space="preserve"> W POWIECIE PLESZEWSKIM</w:t>
      </w:r>
    </w:p>
    <w:p w:rsidR="00CE3E2A" w:rsidRDefault="00CE3E2A" w:rsidP="00CE3E2A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DANE STATYSTYCZNE</w:t>
      </w:r>
    </w:p>
    <w:p w:rsidR="00CE3E2A" w:rsidRDefault="00CE3E2A">
      <w:pPr>
        <w:rPr>
          <w:rFonts w:eastAsiaTheme="minorHAnsi"/>
          <w:b/>
          <w:sz w:val="28"/>
          <w:szCs w:val="30"/>
          <w:lang w:eastAsia="en-US"/>
        </w:rPr>
      </w:pPr>
    </w:p>
    <w:p w:rsidR="00CE3E2A" w:rsidRDefault="00CE3E2A" w:rsidP="00CE3E2A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Wykres 1</w:t>
      </w:r>
    </w:p>
    <w:p w:rsidR="00CE3E2A" w:rsidRDefault="00CE3E2A" w:rsidP="00CE3E2A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 xml:space="preserve">Liczba osób bezrobotnych </w:t>
      </w:r>
      <w:r w:rsidR="00DB653D">
        <w:rPr>
          <w:rFonts w:eastAsiaTheme="minorHAnsi"/>
          <w:b/>
          <w:sz w:val="28"/>
          <w:szCs w:val="30"/>
          <w:lang w:eastAsia="en-US"/>
        </w:rPr>
        <w:t>w poszczególnych miesiącach 2019</w:t>
      </w:r>
      <w:r>
        <w:rPr>
          <w:rFonts w:eastAsiaTheme="minorHAnsi"/>
          <w:b/>
          <w:sz w:val="28"/>
          <w:szCs w:val="30"/>
          <w:lang w:eastAsia="en-US"/>
        </w:rPr>
        <w:t xml:space="preserve"> r.</w:t>
      </w:r>
    </w:p>
    <w:p w:rsidR="00CE3E2A" w:rsidRDefault="00343398" w:rsidP="00343398">
      <w:pPr>
        <w:jc w:val="center"/>
        <w:rPr>
          <w:rFonts w:eastAsiaTheme="minorHAnsi"/>
          <w:b/>
          <w:sz w:val="28"/>
          <w:szCs w:val="30"/>
          <w:lang w:eastAsia="en-US"/>
        </w:rPr>
      </w:pPr>
      <w:r w:rsidRPr="00D33B2A">
        <w:rPr>
          <w:noProof/>
          <w:shd w:val="clear" w:color="auto" w:fill="BFBFBF" w:themeFill="background1" w:themeFillShade="BF"/>
        </w:rPr>
        <w:drawing>
          <wp:inline distT="0" distB="0" distL="0" distR="0" wp14:anchorId="29BF774E" wp14:editId="2AE0E934">
            <wp:extent cx="5760720" cy="3356610"/>
            <wp:effectExtent l="0" t="0" r="11430" b="15240"/>
            <wp:docPr id="4" name="Wykres 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53343A9D-E72C-4B17-873E-9743BE4E42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3E2A" w:rsidRPr="00CE3E2A" w:rsidRDefault="00CE3E2A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>Źródło: Dane własne PUP Pleszew.</w:t>
      </w:r>
    </w:p>
    <w:p w:rsidR="00CE3E2A" w:rsidRDefault="00CE3E2A" w:rsidP="00CE3E2A">
      <w:pPr>
        <w:jc w:val="center"/>
        <w:rPr>
          <w:rFonts w:eastAsiaTheme="minorHAnsi"/>
          <w:b/>
          <w:sz w:val="28"/>
          <w:szCs w:val="30"/>
          <w:lang w:eastAsia="en-US"/>
        </w:rPr>
      </w:pPr>
    </w:p>
    <w:p w:rsidR="00CE3E2A" w:rsidRDefault="00CE3E2A" w:rsidP="00CE3E2A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Wykres 2</w:t>
      </w:r>
    </w:p>
    <w:p w:rsidR="00CE3E2A" w:rsidRPr="00FC1A3B" w:rsidRDefault="00CE3E2A" w:rsidP="00FC1A3B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 xml:space="preserve">Stopa bezrobocia w </w:t>
      </w:r>
      <w:r w:rsidR="00DC5516">
        <w:rPr>
          <w:rFonts w:eastAsiaTheme="minorHAnsi"/>
          <w:b/>
          <w:sz w:val="28"/>
          <w:szCs w:val="30"/>
          <w:lang w:eastAsia="en-US"/>
        </w:rPr>
        <w:t>latach 2011-2019</w:t>
      </w:r>
    </w:p>
    <w:p w:rsidR="00CE3E2A" w:rsidRDefault="00DC5516" w:rsidP="00DC551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58251E8" wp14:editId="238D377B">
            <wp:extent cx="5760720" cy="3006815"/>
            <wp:effectExtent l="0" t="0" r="11430" b="317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A3B" w:rsidRPr="00DC5516" w:rsidRDefault="00FC1A3B" w:rsidP="00DC5516">
      <w:pPr>
        <w:rPr>
          <w:rFonts w:eastAsiaTheme="minorHAnsi"/>
          <w:lang w:eastAsia="en-US"/>
        </w:rPr>
      </w:pPr>
    </w:p>
    <w:p w:rsidR="00FC1A3B" w:rsidRPr="00343398" w:rsidRDefault="00FC1A3B" w:rsidP="00DC5516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 xml:space="preserve">Źródło: </w:t>
      </w:r>
      <w:r w:rsidR="00DC5516">
        <w:rPr>
          <w:rFonts w:eastAsiaTheme="minorHAnsi"/>
          <w:lang w:eastAsia="en-US"/>
        </w:rPr>
        <w:t>pleszew.praca.gov.pl.</w:t>
      </w:r>
    </w:p>
    <w:p w:rsidR="00FC1A3B" w:rsidRDefault="00FC1A3B" w:rsidP="00CE3E2A">
      <w:pPr>
        <w:jc w:val="center"/>
        <w:rPr>
          <w:noProof/>
        </w:rPr>
      </w:pPr>
    </w:p>
    <w:p w:rsidR="00FC1A3B" w:rsidRDefault="00FC1A3B" w:rsidP="00CE3E2A">
      <w:pPr>
        <w:jc w:val="center"/>
        <w:rPr>
          <w:noProof/>
        </w:rPr>
      </w:pPr>
    </w:p>
    <w:p w:rsidR="00FC1A3B" w:rsidRDefault="00FC1A3B" w:rsidP="00CE3E2A">
      <w:pPr>
        <w:jc w:val="center"/>
        <w:rPr>
          <w:noProof/>
        </w:rPr>
      </w:pPr>
    </w:p>
    <w:p w:rsidR="00B22ECD" w:rsidRDefault="00B22ECD" w:rsidP="00B22ECD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Tabela 1</w:t>
      </w:r>
    </w:p>
    <w:p w:rsidR="00B22ECD" w:rsidRDefault="00B22ECD" w:rsidP="00B22ECD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Analiza bezrobocia w powiecie pleszewskim</w:t>
      </w:r>
      <w:r w:rsidR="00343398">
        <w:rPr>
          <w:rFonts w:eastAsiaTheme="minorHAnsi"/>
          <w:b/>
          <w:sz w:val="28"/>
          <w:szCs w:val="30"/>
          <w:lang w:eastAsia="en-US"/>
        </w:rPr>
        <w:t xml:space="preserve"> w ujęciu rocznym</w:t>
      </w:r>
    </w:p>
    <w:p w:rsidR="00B22ECD" w:rsidRDefault="00B22ECD" w:rsidP="00B22ECD">
      <w:pPr>
        <w:jc w:val="center"/>
        <w:rPr>
          <w:rFonts w:eastAsiaTheme="minorHAnsi"/>
          <w:b/>
          <w:sz w:val="28"/>
          <w:szCs w:val="30"/>
          <w:lang w:eastAsia="en-US"/>
        </w:rPr>
      </w:pPr>
    </w:p>
    <w:tbl>
      <w:tblPr>
        <w:tblpPr w:leftFromText="141" w:rightFromText="141" w:vertAnchor="text" w:horzAnchor="margin" w:tblpY="99"/>
        <w:tblW w:w="9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2126"/>
        <w:gridCol w:w="2126"/>
      </w:tblGrid>
      <w:tr w:rsidR="00343398" w:rsidTr="00DC5516">
        <w:tc>
          <w:tcPr>
            <w:tcW w:w="30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43398" w:rsidRDefault="00343398" w:rsidP="00343398">
            <w:pPr>
              <w:rPr>
                <w:rFonts w:ascii="Vogue" w:hAnsi="Vogue"/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343398" w:rsidRDefault="00343398" w:rsidP="0034339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Stan</w:t>
            </w:r>
          </w:p>
          <w:p w:rsidR="00343398" w:rsidRDefault="00DC5516" w:rsidP="0034339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na dzień 31.12.2018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343398" w:rsidRPr="006B3E49" w:rsidRDefault="00343398" w:rsidP="00343398">
            <w:pPr>
              <w:jc w:val="center"/>
              <w:rPr>
                <w:rFonts w:ascii="Arial" w:hAnsi="Arial"/>
                <w:sz w:val="32"/>
              </w:rPr>
            </w:pPr>
            <w:r w:rsidRPr="006B3E49">
              <w:rPr>
                <w:rFonts w:ascii="Arial" w:hAnsi="Arial"/>
                <w:sz w:val="32"/>
              </w:rPr>
              <w:t>Stan</w:t>
            </w:r>
          </w:p>
          <w:p w:rsidR="00343398" w:rsidRPr="006B3E49" w:rsidRDefault="00343398" w:rsidP="00343398">
            <w:pPr>
              <w:jc w:val="center"/>
              <w:rPr>
                <w:rFonts w:ascii="Arial" w:hAnsi="Arial"/>
                <w:sz w:val="32"/>
              </w:rPr>
            </w:pPr>
            <w:r w:rsidRPr="006B3E49">
              <w:rPr>
                <w:rFonts w:ascii="Arial" w:hAnsi="Arial"/>
                <w:sz w:val="32"/>
              </w:rPr>
              <w:t xml:space="preserve">na dzień </w:t>
            </w:r>
            <w:r w:rsidR="00DC5516">
              <w:rPr>
                <w:rFonts w:ascii="Arial" w:hAnsi="Arial"/>
                <w:sz w:val="32"/>
              </w:rPr>
              <w:t>30.11.2019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3398" w:rsidRPr="006B3E49" w:rsidRDefault="00343398" w:rsidP="00343398">
            <w:pPr>
              <w:jc w:val="center"/>
              <w:rPr>
                <w:rFonts w:ascii="Arial" w:hAnsi="Arial"/>
                <w:sz w:val="32"/>
              </w:rPr>
            </w:pPr>
            <w:r w:rsidRPr="006B3E49">
              <w:rPr>
                <w:rFonts w:ascii="Arial" w:hAnsi="Arial"/>
                <w:sz w:val="32"/>
              </w:rPr>
              <w:t>Stan</w:t>
            </w:r>
          </w:p>
          <w:p w:rsidR="00343398" w:rsidRPr="006B3E49" w:rsidRDefault="00343398" w:rsidP="00343398">
            <w:pPr>
              <w:jc w:val="center"/>
              <w:rPr>
                <w:rFonts w:ascii="Arial" w:hAnsi="Arial"/>
                <w:sz w:val="32"/>
              </w:rPr>
            </w:pPr>
            <w:r w:rsidRPr="006B3E49">
              <w:rPr>
                <w:rFonts w:ascii="Arial" w:hAnsi="Arial"/>
                <w:sz w:val="32"/>
              </w:rPr>
              <w:t xml:space="preserve">na dzień </w:t>
            </w:r>
            <w:r w:rsidR="00DC5516">
              <w:rPr>
                <w:rFonts w:ascii="Arial" w:hAnsi="Arial"/>
                <w:sz w:val="32"/>
              </w:rPr>
              <w:t>31.12.2019</w:t>
            </w:r>
          </w:p>
        </w:tc>
      </w:tr>
      <w:tr w:rsidR="00343398" w:rsidTr="00DC5516">
        <w:trPr>
          <w:trHeight w:val="534"/>
        </w:trPr>
        <w:tc>
          <w:tcPr>
            <w:tcW w:w="3047" w:type="dxa"/>
            <w:tcBorders>
              <w:top w:val="nil"/>
            </w:tcBorders>
            <w:vAlign w:val="center"/>
          </w:tcPr>
          <w:p w:rsidR="00343398" w:rsidRP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Bezrobotni ogółem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43398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895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930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983</w:t>
            </w:r>
          </w:p>
        </w:tc>
      </w:tr>
      <w:tr w:rsidR="00343398" w:rsidTr="00DC5516">
        <w:trPr>
          <w:trHeight w:val="421"/>
        </w:trPr>
        <w:tc>
          <w:tcPr>
            <w:tcW w:w="3047" w:type="dxa"/>
            <w:vAlign w:val="center"/>
          </w:tcPr>
          <w:p w:rsid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Bezrobotni</w:t>
            </w:r>
          </w:p>
          <w:p w:rsidR="00343398" w:rsidRP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z prawem do zasiłku</w:t>
            </w:r>
          </w:p>
        </w:tc>
        <w:tc>
          <w:tcPr>
            <w:tcW w:w="2268" w:type="dxa"/>
            <w:vAlign w:val="center"/>
          </w:tcPr>
          <w:p w:rsidR="00343398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169</w:t>
            </w:r>
          </w:p>
        </w:tc>
        <w:tc>
          <w:tcPr>
            <w:tcW w:w="2126" w:type="dxa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149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188</w:t>
            </w:r>
          </w:p>
        </w:tc>
      </w:tr>
      <w:tr w:rsidR="00343398" w:rsidTr="00DC5516">
        <w:trPr>
          <w:trHeight w:val="613"/>
        </w:trPr>
        <w:tc>
          <w:tcPr>
            <w:tcW w:w="3047" w:type="dxa"/>
            <w:vAlign w:val="center"/>
          </w:tcPr>
          <w:p w:rsid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Bezrobotni</w:t>
            </w:r>
          </w:p>
          <w:p w:rsidR="00343398" w:rsidRP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bez prawa do zasiłku</w:t>
            </w:r>
          </w:p>
        </w:tc>
        <w:tc>
          <w:tcPr>
            <w:tcW w:w="2268" w:type="dxa"/>
            <w:vAlign w:val="center"/>
          </w:tcPr>
          <w:p w:rsidR="00343398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726</w:t>
            </w:r>
          </w:p>
        </w:tc>
        <w:tc>
          <w:tcPr>
            <w:tcW w:w="2126" w:type="dxa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781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795</w:t>
            </w:r>
          </w:p>
        </w:tc>
      </w:tr>
      <w:tr w:rsidR="00343398" w:rsidTr="00DC5516">
        <w:trPr>
          <w:trHeight w:val="565"/>
        </w:trPr>
        <w:tc>
          <w:tcPr>
            <w:tcW w:w="3047" w:type="dxa"/>
            <w:vAlign w:val="center"/>
          </w:tcPr>
          <w:p w:rsid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Bezrobotni </w:t>
            </w:r>
          </w:p>
          <w:p w:rsidR="00343398" w:rsidRP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</w:t>
            </w:r>
            <w:r w:rsidRPr="00343398">
              <w:rPr>
                <w:rFonts w:ascii="Arial" w:hAnsi="Arial"/>
                <w:sz w:val="22"/>
                <w:szCs w:val="22"/>
              </w:rPr>
              <w:t>amieszkali na wsi</w:t>
            </w:r>
          </w:p>
        </w:tc>
        <w:tc>
          <w:tcPr>
            <w:tcW w:w="2268" w:type="dxa"/>
            <w:vAlign w:val="center"/>
          </w:tcPr>
          <w:p w:rsidR="00343398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548</w:t>
            </w:r>
          </w:p>
        </w:tc>
        <w:tc>
          <w:tcPr>
            <w:tcW w:w="2126" w:type="dxa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583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594</w:t>
            </w:r>
          </w:p>
        </w:tc>
      </w:tr>
      <w:tr w:rsidR="00343398" w:rsidTr="00DC5516">
        <w:trPr>
          <w:trHeight w:val="558"/>
        </w:trPr>
        <w:tc>
          <w:tcPr>
            <w:tcW w:w="3047" w:type="dxa"/>
            <w:tcBorders>
              <w:bottom w:val="nil"/>
            </w:tcBorders>
            <w:vAlign w:val="center"/>
          </w:tcPr>
          <w:p w:rsid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</w:t>
            </w:r>
            <w:r w:rsidRPr="00343398">
              <w:rPr>
                <w:rFonts w:ascii="Arial" w:hAnsi="Arial"/>
                <w:sz w:val="22"/>
                <w:szCs w:val="22"/>
              </w:rPr>
              <w:t xml:space="preserve">ezrobotni </w:t>
            </w:r>
          </w:p>
          <w:p w:rsidR="00343398" w:rsidRP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do 25 roku życia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43398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181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207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191</w:t>
            </w:r>
          </w:p>
        </w:tc>
      </w:tr>
      <w:tr w:rsidR="00343398" w:rsidTr="00DC5516">
        <w:trPr>
          <w:trHeight w:val="375"/>
        </w:trPr>
        <w:tc>
          <w:tcPr>
            <w:tcW w:w="30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3398" w:rsidRP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 xml:space="preserve">Podjęcia pracy </w:t>
            </w:r>
          </w:p>
          <w:p w:rsidR="00343398" w:rsidRP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w danym miesiącu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3398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195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87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44</w:t>
            </w:r>
          </w:p>
        </w:tc>
      </w:tr>
      <w:tr w:rsidR="00343398" w:rsidTr="00DC5516">
        <w:trPr>
          <w:trHeight w:val="418"/>
        </w:trPr>
        <w:tc>
          <w:tcPr>
            <w:tcW w:w="3047" w:type="dxa"/>
            <w:tcBorders>
              <w:top w:val="nil"/>
            </w:tcBorders>
            <w:vAlign w:val="center"/>
          </w:tcPr>
          <w:p w:rsidR="00343398" w:rsidRP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Oferty pracy</w:t>
            </w:r>
          </w:p>
          <w:p w:rsidR="00343398" w:rsidRP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w danym miesiącu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43398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217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180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151</w:t>
            </w:r>
          </w:p>
        </w:tc>
      </w:tr>
      <w:tr w:rsidR="00343398" w:rsidTr="00DC5516">
        <w:trPr>
          <w:trHeight w:val="482"/>
        </w:trPr>
        <w:tc>
          <w:tcPr>
            <w:tcW w:w="3047" w:type="dxa"/>
            <w:vAlign w:val="center"/>
          </w:tcPr>
          <w:p w:rsidR="00343398" w:rsidRP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Nowozarejestrowani</w:t>
            </w:r>
          </w:p>
          <w:p w:rsidR="00343398" w:rsidRPr="00343398" w:rsidRDefault="00343398" w:rsidP="00343398">
            <w:pPr>
              <w:rPr>
                <w:rFonts w:ascii="Arial" w:hAnsi="Arial"/>
                <w:sz w:val="22"/>
                <w:szCs w:val="22"/>
              </w:rPr>
            </w:pPr>
            <w:r w:rsidRPr="00343398">
              <w:rPr>
                <w:rFonts w:ascii="Arial" w:hAnsi="Arial"/>
                <w:sz w:val="22"/>
                <w:szCs w:val="22"/>
              </w:rPr>
              <w:t>w danym miesiącu</w:t>
            </w:r>
          </w:p>
        </w:tc>
        <w:tc>
          <w:tcPr>
            <w:tcW w:w="2268" w:type="dxa"/>
            <w:vAlign w:val="center"/>
          </w:tcPr>
          <w:p w:rsidR="00343398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269</w:t>
            </w:r>
          </w:p>
        </w:tc>
        <w:tc>
          <w:tcPr>
            <w:tcW w:w="2126" w:type="dxa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178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43398" w:rsidRPr="006B3E49" w:rsidRDefault="00DC5516" w:rsidP="00343398">
            <w:pPr>
              <w:ind w:right="21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181</w:t>
            </w:r>
          </w:p>
        </w:tc>
      </w:tr>
    </w:tbl>
    <w:p w:rsidR="00582847" w:rsidRPr="00CE3E2A" w:rsidRDefault="00582847" w:rsidP="00582847">
      <w:pPr>
        <w:rPr>
          <w:rFonts w:eastAsiaTheme="minorHAnsi"/>
          <w:lang w:eastAsia="en-US"/>
        </w:rPr>
      </w:pPr>
      <w:r w:rsidRPr="00CE3E2A">
        <w:rPr>
          <w:rFonts w:eastAsiaTheme="minorHAnsi"/>
          <w:lang w:eastAsia="en-US"/>
        </w:rPr>
        <w:t>Źródło: Dane własne PUP Pleszew.</w:t>
      </w:r>
    </w:p>
    <w:p w:rsidR="00CE3E2A" w:rsidRDefault="00CE3E2A" w:rsidP="008070B7">
      <w:pPr>
        <w:rPr>
          <w:noProof/>
        </w:rPr>
      </w:pPr>
    </w:p>
    <w:p w:rsidR="00CE3E2A" w:rsidRDefault="00CE3E2A" w:rsidP="00CE3E2A">
      <w:pPr>
        <w:jc w:val="center"/>
        <w:rPr>
          <w:noProof/>
        </w:rPr>
      </w:pPr>
    </w:p>
    <w:p w:rsidR="00B22ECD" w:rsidRDefault="00B22ECD" w:rsidP="00B22ECD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Tabela 2</w:t>
      </w:r>
    </w:p>
    <w:p w:rsidR="00B22ECD" w:rsidRDefault="00B22ECD" w:rsidP="00B22ECD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 xml:space="preserve">Zestawienie danych dotyczących osób bezrobotnych </w:t>
      </w:r>
    </w:p>
    <w:p w:rsidR="00B22ECD" w:rsidRDefault="00B22ECD" w:rsidP="00B22ECD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 xml:space="preserve">w gminach powiatu pleszewskiego </w:t>
      </w:r>
    </w:p>
    <w:p w:rsidR="00B22ECD" w:rsidRDefault="00DC5516" w:rsidP="00B22ECD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Stan na 31.12.2019</w:t>
      </w:r>
      <w:r w:rsidR="00B22ECD">
        <w:rPr>
          <w:rFonts w:eastAsiaTheme="minorHAnsi"/>
          <w:b/>
          <w:sz w:val="28"/>
          <w:szCs w:val="30"/>
          <w:lang w:eastAsia="en-US"/>
        </w:rPr>
        <w:t xml:space="preserve"> r.</w:t>
      </w:r>
    </w:p>
    <w:p w:rsidR="00B22ECD" w:rsidRDefault="00B22ECD" w:rsidP="00B22ECD">
      <w:pPr>
        <w:jc w:val="center"/>
        <w:rPr>
          <w:noProof/>
        </w:rPr>
      </w:pP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334"/>
        <w:gridCol w:w="1276"/>
        <w:gridCol w:w="1417"/>
        <w:gridCol w:w="1560"/>
        <w:gridCol w:w="2093"/>
      </w:tblGrid>
      <w:tr w:rsidR="00582847" w:rsidRPr="00FC1A3B" w:rsidTr="00582847">
        <w:trPr>
          <w:trHeight w:val="27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847" w:rsidRPr="00FC1A3B" w:rsidRDefault="00582847" w:rsidP="005F65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5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847" w:rsidRPr="00FC1A3B" w:rsidRDefault="00582847" w:rsidP="005F65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C1A3B">
              <w:rPr>
                <w:rFonts w:eastAsia="Times New Roman"/>
                <w:b/>
                <w:bCs/>
                <w:sz w:val="18"/>
                <w:szCs w:val="18"/>
              </w:rPr>
              <w:t>Liczba bezrobotnych w końcu miesiąca</w:t>
            </w:r>
          </w:p>
        </w:tc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847" w:rsidRPr="00FC1A3B" w:rsidRDefault="00952758" w:rsidP="005F65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</w:t>
            </w:r>
            <w:r w:rsidR="00582847" w:rsidRPr="00FC1A3B">
              <w:rPr>
                <w:rFonts w:eastAsia="Times New Roman"/>
                <w:b/>
                <w:bCs/>
                <w:sz w:val="18"/>
                <w:szCs w:val="18"/>
              </w:rPr>
              <w:t>ferty pracy zgłoszone                         w miesiącu sprawozdawczym</w:t>
            </w:r>
          </w:p>
        </w:tc>
      </w:tr>
      <w:tr w:rsidR="00582847" w:rsidRPr="00FC1A3B" w:rsidTr="00582847">
        <w:trPr>
          <w:trHeight w:val="885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847" w:rsidRPr="00FC1A3B" w:rsidRDefault="00582847" w:rsidP="005F65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847" w:rsidRPr="00FC1A3B" w:rsidRDefault="00952758" w:rsidP="005F65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</w:t>
            </w:r>
            <w:r w:rsidR="00582847" w:rsidRPr="00FC1A3B">
              <w:rPr>
                <w:rFonts w:eastAsia="Times New Roman"/>
                <w:b/>
                <w:bCs/>
                <w:sz w:val="18"/>
                <w:szCs w:val="18"/>
              </w:rPr>
              <w:t xml:space="preserve">gółem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847" w:rsidRPr="00FC1A3B" w:rsidRDefault="00952758" w:rsidP="005F65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K</w:t>
            </w:r>
            <w:r w:rsidR="00582847" w:rsidRPr="00FC1A3B">
              <w:rPr>
                <w:rFonts w:eastAsia="Times New Roman"/>
                <w:b/>
                <w:bCs/>
                <w:sz w:val="18"/>
                <w:szCs w:val="18"/>
              </w:rPr>
              <w:t>obiety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847" w:rsidRPr="00FC1A3B" w:rsidRDefault="00952758" w:rsidP="005828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  <w:r w:rsidR="00582847" w:rsidRPr="00FC1A3B">
              <w:rPr>
                <w:rFonts w:eastAsia="Times New Roman"/>
                <w:b/>
                <w:bCs/>
                <w:sz w:val="18"/>
                <w:szCs w:val="18"/>
              </w:rPr>
              <w:t xml:space="preserve">o </w:t>
            </w:r>
            <w:r w:rsidR="00582847">
              <w:rPr>
                <w:rFonts w:eastAsia="Times New Roman"/>
                <w:b/>
                <w:bCs/>
                <w:sz w:val="18"/>
                <w:szCs w:val="18"/>
              </w:rPr>
              <w:t>30</w:t>
            </w:r>
            <w:r w:rsidR="00582847" w:rsidRPr="00FC1A3B">
              <w:rPr>
                <w:rFonts w:eastAsia="Times New Roman"/>
                <w:b/>
                <w:bCs/>
                <w:sz w:val="18"/>
                <w:szCs w:val="18"/>
              </w:rPr>
              <w:t xml:space="preserve"> roku życia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82847" w:rsidRPr="00FC1A3B" w:rsidRDefault="00952758" w:rsidP="005F65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  <w:r w:rsidR="00582847" w:rsidRPr="00FC1A3B">
              <w:rPr>
                <w:rFonts w:eastAsia="Times New Roman"/>
                <w:b/>
                <w:bCs/>
                <w:sz w:val="18"/>
                <w:szCs w:val="18"/>
              </w:rPr>
              <w:t>ługotrwale bezrobotni</w:t>
            </w:r>
          </w:p>
        </w:tc>
        <w:tc>
          <w:tcPr>
            <w:tcW w:w="2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2847" w:rsidRPr="00FC1A3B" w:rsidRDefault="00582847" w:rsidP="005F65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582847" w:rsidRPr="00FC1A3B" w:rsidTr="00DC551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2847" w:rsidRPr="00FC1A3B" w:rsidRDefault="00582847" w:rsidP="005F65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Powiat pleszewski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334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349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151</w:t>
            </w:r>
          </w:p>
        </w:tc>
      </w:tr>
      <w:tr w:rsidR="00B22ECD" w:rsidRPr="00FC1A3B" w:rsidTr="00DC551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22ECD" w:rsidRPr="00FC1A3B" w:rsidRDefault="00B22ECD" w:rsidP="005F65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C1A3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G. miejsko-wiejskia</w:t>
            </w:r>
          </w:p>
        </w:tc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2ECD" w:rsidRPr="00FC1A3B" w:rsidRDefault="00B22ECD" w:rsidP="005F65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82847" w:rsidRPr="00FC1A3B" w:rsidTr="00DC551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847" w:rsidRPr="00FC1A3B" w:rsidRDefault="00582847" w:rsidP="005F651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Chocz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82847" w:rsidRPr="00FC1A3B" w:rsidTr="00DC551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847" w:rsidRPr="00FC1A3B" w:rsidRDefault="00582847" w:rsidP="005F651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Dobrzyca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82847" w:rsidRPr="00FC1A3B" w:rsidTr="00DC5516">
        <w:trPr>
          <w:trHeight w:val="24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847" w:rsidRPr="00FC1A3B" w:rsidRDefault="00582847" w:rsidP="005F65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Pleszew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125</w:t>
            </w:r>
          </w:p>
        </w:tc>
      </w:tr>
      <w:tr w:rsidR="00B22ECD" w:rsidRPr="00FC1A3B" w:rsidTr="00DC551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22ECD" w:rsidRPr="00FC1A3B" w:rsidRDefault="00B22ECD" w:rsidP="005F651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FC1A3B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G.wiejskie</w:t>
            </w:r>
          </w:p>
        </w:tc>
        <w:tc>
          <w:tcPr>
            <w:tcW w:w="7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22ECD" w:rsidRPr="00FC1A3B" w:rsidRDefault="00B22ECD" w:rsidP="005F65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582847" w:rsidRPr="00FC1A3B" w:rsidTr="00DC5516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847" w:rsidRPr="00FC1A3B" w:rsidRDefault="00582847" w:rsidP="005F651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Czermin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582847" w:rsidRPr="00FC1A3B" w:rsidTr="00DC551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2847" w:rsidRPr="00FC1A3B" w:rsidRDefault="00582847" w:rsidP="005F651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Gizałki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582847" w:rsidRPr="00FC1A3B" w:rsidTr="00DC551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82847" w:rsidRPr="00FC1A3B" w:rsidRDefault="00582847" w:rsidP="005F6510">
            <w:pPr>
              <w:widowControl/>
              <w:autoSpaceDE/>
              <w:autoSpaceDN/>
              <w:adjustRightInd/>
              <w:ind w:firstLineChars="100" w:firstLine="221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C1A3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Gołuchów</w:t>
            </w:r>
          </w:p>
        </w:tc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847" w:rsidRPr="00FC1A3B" w:rsidRDefault="00DC5516" w:rsidP="005F651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22</w:t>
            </w:r>
          </w:p>
        </w:tc>
      </w:tr>
    </w:tbl>
    <w:p w:rsidR="00B22ECD" w:rsidRPr="005079B2" w:rsidRDefault="005079B2" w:rsidP="00B22ECD">
      <w:pPr>
        <w:rPr>
          <w:rFonts w:eastAsiaTheme="minorHAnsi"/>
          <w:lang w:eastAsia="en-US"/>
        </w:rPr>
        <w:sectPr w:rsidR="00B22ECD" w:rsidRPr="005079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Theme="minorHAnsi"/>
          <w:lang w:eastAsia="en-US"/>
        </w:rPr>
        <w:t>Źródło: Dane własne PUP Pleszew.</w:t>
      </w:r>
    </w:p>
    <w:p w:rsidR="007D6309" w:rsidRDefault="00582847" w:rsidP="00B749BE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lastRenderedPageBreak/>
        <w:t>Tabela 3</w:t>
      </w:r>
    </w:p>
    <w:p w:rsidR="007D6309" w:rsidRPr="00DC5516" w:rsidRDefault="007D6309" w:rsidP="00DC5516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 xml:space="preserve">Kształtowanie się poziomu bezrobocia na terenie powiatu </w:t>
      </w:r>
      <w:r w:rsidR="002A65AA">
        <w:rPr>
          <w:rFonts w:eastAsiaTheme="minorHAnsi"/>
          <w:b/>
          <w:sz w:val="28"/>
          <w:szCs w:val="30"/>
          <w:lang w:eastAsia="en-US"/>
        </w:rPr>
        <w:t>pleszewskiego w latach 1990</w:t>
      </w:r>
      <w:r w:rsidR="00DC5516">
        <w:rPr>
          <w:rFonts w:eastAsiaTheme="minorHAnsi"/>
          <w:b/>
          <w:sz w:val="28"/>
          <w:szCs w:val="30"/>
          <w:lang w:eastAsia="en-US"/>
        </w:rPr>
        <w:t>-2019</w:t>
      </w:r>
    </w:p>
    <w:tbl>
      <w:tblPr>
        <w:tblW w:w="15825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209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</w:tblGrid>
      <w:tr w:rsidR="005079B2" w:rsidRPr="00680261" w:rsidTr="00086350">
        <w:tc>
          <w:tcPr>
            <w:tcW w:w="1306" w:type="dxa"/>
            <w:tcBorders>
              <w:bottom w:val="single" w:sz="12" w:space="0" w:color="auto"/>
            </w:tcBorders>
            <w:shd w:val="pct10" w:color="auto" w:fill="auto"/>
          </w:tcPr>
          <w:p w:rsidR="005079B2" w:rsidRPr="00B749BE" w:rsidRDefault="005079B2" w:rsidP="00086350">
            <w:pPr>
              <w:pStyle w:val="Nagwek1"/>
              <w:jc w:val="center"/>
              <w:rPr>
                <w:sz w:val="20"/>
                <w:szCs w:val="20"/>
              </w:rPr>
            </w:pPr>
            <w:r w:rsidRPr="00B749BE">
              <w:rPr>
                <w:sz w:val="20"/>
                <w:szCs w:val="20"/>
              </w:rPr>
              <w:t>Rok</w:t>
            </w:r>
          </w:p>
        </w:tc>
        <w:tc>
          <w:tcPr>
            <w:tcW w:w="1209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I</w:t>
            </w:r>
          </w:p>
        </w:tc>
        <w:tc>
          <w:tcPr>
            <w:tcW w:w="1210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II</w:t>
            </w:r>
          </w:p>
        </w:tc>
        <w:tc>
          <w:tcPr>
            <w:tcW w:w="1210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III</w:t>
            </w:r>
          </w:p>
        </w:tc>
        <w:tc>
          <w:tcPr>
            <w:tcW w:w="1210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IV</w:t>
            </w:r>
          </w:p>
        </w:tc>
        <w:tc>
          <w:tcPr>
            <w:tcW w:w="1210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V</w:t>
            </w:r>
          </w:p>
        </w:tc>
        <w:tc>
          <w:tcPr>
            <w:tcW w:w="1210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VI</w:t>
            </w:r>
          </w:p>
        </w:tc>
        <w:tc>
          <w:tcPr>
            <w:tcW w:w="1210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VII</w:t>
            </w:r>
          </w:p>
        </w:tc>
        <w:tc>
          <w:tcPr>
            <w:tcW w:w="1210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VIII</w:t>
            </w:r>
          </w:p>
        </w:tc>
        <w:tc>
          <w:tcPr>
            <w:tcW w:w="1210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IX</w:t>
            </w:r>
          </w:p>
        </w:tc>
        <w:tc>
          <w:tcPr>
            <w:tcW w:w="1210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X</w:t>
            </w:r>
          </w:p>
        </w:tc>
        <w:tc>
          <w:tcPr>
            <w:tcW w:w="1210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XI</w:t>
            </w:r>
          </w:p>
        </w:tc>
        <w:tc>
          <w:tcPr>
            <w:tcW w:w="1210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XII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1990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168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346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624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834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1.030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1.430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1.668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1.855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2.247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2.149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2.325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2.488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1991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2.708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2.609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2.621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2.650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2.787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3.072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3.415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3.787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3.988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4.316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4.573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4.663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1992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4.670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4.682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4.716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4.254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4.375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4.583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4.738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4.770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4.734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4.707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4.787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4.789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1993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4.940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5.081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5.105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5.127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5.169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5.548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5.718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5.812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6.011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5.869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6.040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5.646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1994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5.601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5.647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5.548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5.601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5.652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6.070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6.174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6.265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6.144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6.086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5.829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5.716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1995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5.903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5.747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5.600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5.651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5.423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5.885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5.934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5.989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6.045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5.930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5.871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5.898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1996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6.389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6.358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6.361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6.330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6.159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6.215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6.279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6.092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5.906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5.809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5.773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5.958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1997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5.989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5.919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5.664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5.453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5.379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5.483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5.364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5.255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5.052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4.904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4.900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5.129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1998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5.261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5.248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5.101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4.837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4.644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4.642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4.620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4.560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4.490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4.570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4.650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4.844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1999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5.124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5.329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5.505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5.364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5.287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5.295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5.290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5.296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5.241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5.232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5.447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5.714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2000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5.962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5.965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5.987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5.860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5.798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5.760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5.768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5.831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5.919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5.877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6.050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6.254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2001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6.480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6.473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6.505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6.408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6.295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6.182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6.181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6.166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6.289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6.286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6.487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6.742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2002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6.990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6.973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6.833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6.498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6.218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6.360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6.514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6.501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6.484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6.452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6.537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6.790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2003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6.844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6.860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6.756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6.552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6.495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6.416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6.125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5.922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5.926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5.865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6.018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6.249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2004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6.562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6.545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6.583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6.409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6.241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6.378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6.260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6.236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6.217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6.233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6.199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6.180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2005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6.579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6.566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6510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6.356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6.303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6.311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6.061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6.041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5.795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5.794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5.790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5.996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2006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6.199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6.182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6.122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5.860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5.574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5.477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5.255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5.221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5.044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4.910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4.878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4.789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2007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4.686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4.604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4.461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4.218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3.726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3.363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3.349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3.243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3.159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3.072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3.167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3.247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2008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3.342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3.215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2.908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2.518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2.369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2.145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2.142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2.226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2.165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2.096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2.183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2.374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2009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2.672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2.873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2.947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2.824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2.716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2.706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2.742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2.799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2.827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2.801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2.899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3.130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2010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3.485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3.708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3.715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3.395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3.130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3.066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2.984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3.035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2.953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2.894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2.986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3.225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2011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3.584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3.654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3.555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3.403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3.160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2.922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2.679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2.727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2.719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2.689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2.856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3.113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2012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3.407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3.475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3.288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3.028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2.860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2.844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2.778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2.764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2.720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2.768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2.963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3.231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2013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3.545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3.734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3.580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3.473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3.315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3.106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3.029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3.101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3130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3.090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3.230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3.406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2014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3.506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3.554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3.275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3.037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2.873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2.727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2.583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2.480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2.353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2.270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2.234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2.349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2015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2.576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2.589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2.401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2.191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1.921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1.785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1.705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1.600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1.490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1.416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1.571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1.652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2016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1.766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1.713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1.616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1.492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1.338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1.281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1.276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1.207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1.163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1.236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1.327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1.332</w:t>
            </w:r>
          </w:p>
        </w:tc>
      </w:tr>
      <w:tr w:rsidR="005079B2" w:rsidRPr="00680261" w:rsidTr="00086350">
        <w:tc>
          <w:tcPr>
            <w:tcW w:w="1306" w:type="dxa"/>
            <w:shd w:val="pct10" w:color="auto" w:fill="auto"/>
            <w:vAlign w:val="center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2017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1.356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1.359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1.328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1.211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1.106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965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964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876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872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876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926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911</w:t>
            </w:r>
          </w:p>
        </w:tc>
      </w:tr>
      <w:tr w:rsidR="005079B2" w:rsidRPr="00680261" w:rsidTr="00DD1DD5">
        <w:trPr>
          <w:trHeight w:val="50"/>
        </w:trPr>
        <w:tc>
          <w:tcPr>
            <w:tcW w:w="1306" w:type="dxa"/>
            <w:shd w:val="pct10" w:color="auto" w:fill="auto"/>
          </w:tcPr>
          <w:p w:rsidR="005079B2" w:rsidRPr="00B749BE" w:rsidRDefault="005079B2" w:rsidP="00086350">
            <w:pPr>
              <w:jc w:val="center"/>
              <w:rPr>
                <w:b/>
              </w:rPr>
            </w:pPr>
            <w:r w:rsidRPr="00B749BE">
              <w:rPr>
                <w:b/>
              </w:rPr>
              <w:t>2018</w:t>
            </w:r>
          </w:p>
        </w:tc>
        <w:tc>
          <w:tcPr>
            <w:tcW w:w="1209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970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981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928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873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803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783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826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794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792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</w:pPr>
            <w:r w:rsidRPr="00B749BE">
              <w:t>800</w:t>
            </w:r>
          </w:p>
        </w:tc>
        <w:tc>
          <w:tcPr>
            <w:tcW w:w="1210" w:type="dxa"/>
            <w:vAlign w:val="center"/>
          </w:tcPr>
          <w:p w:rsidR="005079B2" w:rsidRPr="00B749BE" w:rsidRDefault="005079B2" w:rsidP="00086350">
            <w:pPr>
              <w:jc w:val="right"/>
              <w:rPr>
                <w:noProof/>
                <w:lang w:eastAsia="en-US"/>
              </w:rPr>
            </w:pPr>
            <w:r w:rsidRPr="00B749BE">
              <w:rPr>
                <w:noProof/>
                <w:lang w:eastAsia="en-US"/>
              </w:rPr>
              <w:t>896</w:t>
            </w:r>
          </w:p>
        </w:tc>
        <w:tc>
          <w:tcPr>
            <w:tcW w:w="1210" w:type="dxa"/>
            <w:vAlign w:val="center"/>
          </w:tcPr>
          <w:p w:rsidR="005079B2" w:rsidRPr="00DC5516" w:rsidRDefault="005079B2" w:rsidP="00086350">
            <w:pPr>
              <w:jc w:val="right"/>
            </w:pPr>
            <w:r w:rsidRPr="00DC5516">
              <w:t>895</w:t>
            </w:r>
          </w:p>
        </w:tc>
      </w:tr>
      <w:tr w:rsidR="00DC5516" w:rsidRPr="00680261" w:rsidTr="00104957">
        <w:trPr>
          <w:trHeight w:val="50"/>
        </w:trPr>
        <w:tc>
          <w:tcPr>
            <w:tcW w:w="1306" w:type="dxa"/>
            <w:shd w:val="pct10" w:color="auto" w:fill="auto"/>
          </w:tcPr>
          <w:p w:rsidR="00DC5516" w:rsidRPr="00B749BE" w:rsidRDefault="00DC5516" w:rsidP="0008635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209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</w:rPr>
            </w:pPr>
            <w:r w:rsidRPr="00104957">
              <w:rPr>
                <w:b/>
              </w:rPr>
              <w:t>929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</w:rPr>
            </w:pPr>
            <w:r w:rsidRPr="00104957">
              <w:rPr>
                <w:b/>
              </w:rPr>
              <w:t>920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</w:rPr>
            </w:pPr>
            <w:r w:rsidRPr="00104957">
              <w:rPr>
                <w:b/>
              </w:rPr>
              <w:t>879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</w:rPr>
            </w:pPr>
            <w:r w:rsidRPr="00104957">
              <w:rPr>
                <w:b/>
              </w:rPr>
              <w:t>833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</w:rPr>
            </w:pPr>
            <w:r w:rsidRPr="00104957">
              <w:rPr>
                <w:b/>
              </w:rPr>
              <w:t>828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</w:rPr>
            </w:pPr>
            <w:r w:rsidRPr="00104957">
              <w:rPr>
                <w:b/>
              </w:rPr>
              <w:t>820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  <w:noProof/>
                <w:lang w:eastAsia="en-US"/>
              </w:rPr>
            </w:pPr>
            <w:r w:rsidRPr="00104957">
              <w:rPr>
                <w:b/>
                <w:noProof/>
                <w:lang w:eastAsia="en-US"/>
              </w:rPr>
              <w:t>841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  <w:noProof/>
                <w:lang w:eastAsia="en-US"/>
              </w:rPr>
            </w:pPr>
            <w:r w:rsidRPr="00104957">
              <w:rPr>
                <w:b/>
                <w:noProof/>
                <w:lang w:eastAsia="en-US"/>
              </w:rPr>
              <w:t>866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</w:rPr>
            </w:pPr>
            <w:r w:rsidRPr="00104957">
              <w:rPr>
                <w:b/>
              </w:rPr>
              <w:t>885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</w:rPr>
            </w:pPr>
            <w:r w:rsidRPr="00104957">
              <w:rPr>
                <w:b/>
              </w:rPr>
              <w:t>913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  <w:noProof/>
                <w:lang w:eastAsia="en-US"/>
              </w:rPr>
            </w:pPr>
            <w:r w:rsidRPr="00104957">
              <w:rPr>
                <w:b/>
                <w:noProof/>
                <w:lang w:eastAsia="en-US"/>
              </w:rPr>
              <w:t>930</w:t>
            </w:r>
          </w:p>
        </w:tc>
        <w:tc>
          <w:tcPr>
            <w:tcW w:w="1210" w:type="dxa"/>
            <w:shd w:val="clear" w:color="auto" w:fill="BFBFBF" w:themeFill="background1" w:themeFillShade="BF"/>
            <w:vAlign w:val="center"/>
          </w:tcPr>
          <w:p w:rsidR="00DC5516" w:rsidRPr="00104957" w:rsidRDefault="00DC5516" w:rsidP="00086350">
            <w:pPr>
              <w:jc w:val="right"/>
              <w:rPr>
                <w:b/>
              </w:rPr>
            </w:pPr>
            <w:r w:rsidRPr="00104957">
              <w:rPr>
                <w:b/>
              </w:rPr>
              <w:t>983</w:t>
            </w:r>
          </w:p>
        </w:tc>
      </w:tr>
    </w:tbl>
    <w:p w:rsidR="00826485" w:rsidRPr="00F51A11" w:rsidRDefault="005079B2" w:rsidP="007D6309">
      <w:pPr>
        <w:rPr>
          <w:noProof/>
        </w:rPr>
        <w:sectPr w:rsidR="00826485" w:rsidRPr="00F51A11" w:rsidSect="00B22ECD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 w:rsidRPr="001203C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10795</wp:posOffset>
                </wp:positionV>
                <wp:extent cx="2413000" cy="3175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53D" w:rsidRPr="001203C0" w:rsidRDefault="00DB653D" w:rsidP="005079B2">
                            <w:r w:rsidRPr="001203C0">
                              <w:t>Źródło: Dane własne PUP Pleszew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21.9pt;margin-top:.85pt;width:190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" stroked="f">
                <v:textbox>
                  <w:txbxContent>
                    <w:p w:rsidR="00DB653D" w:rsidRPr="001203C0" w:rsidRDefault="00DB653D" w:rsidP="005079B2">
                      <w:r w:rsidRPr="001203C0">
                        <w:t>Źródło: Dane własne PUP Pleszew</w:t>
                      </w:r>
                    </w:p>
                  </w:txbxContent>
                </v:textbox>
              </v:shape>
            </w:pict>
          </mc:Fallback>
        </mc:AlternateContent>
      </w:r>
    </w:p>
    <w:p w:rsidR="00826485" w:rsidRDefault="00757B24" w:rsidP="00826485">
      <w:pPr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lastRenderedPageBreak/>
        <w:t>II</w:t>
      </w:r>
      <w:r w:rsidR="00A6534D">
        <w:rPr>
          <w:rFonts w:eastAsiaTheme="minorHAnsi"/>
          <w:b/>
          <w:sz w:val="28"/>
          <w:szCs w:val="30"/>
          <w:lang w:eastAsia="en-US"/>
        </w:rPr>
        <w:t>.</w:t>
      </w:r>
      <w:r w:rsidR="00104957">
        <w:rPr>
          <w:rFonts w:eastAsiaTheme="minorHAnsi"/>
          <w:b/>
          <w:sz w:val="28"/>
          <w:szCs w:val="30"/>
          <w:lang w:eastAsia="en-US"/>
        </w:rPr>
        <w:t xml:space="preserve"> REALIZACJA PROGRAMU W 2019</w:t>
      </w:r>
      <w:r w:rsidR="00826485">
        <w:rPr>
          <w:rFonts w:eastAsiaTheme="minorHAnsi"/>
          <w:b/>
          <w:sz w:val="28"/>
          <w:szCs w:val="30"/>
          <w:lang w:eastAsia="en-US"/>
        </w:rPr>
        <w:t xml:space="preserve"> R.</w:t>
      </w:r>
    </w:p>
    <w:p w:rsidR="00826485" w:rsidRDefault="00826485" w:rsidP="00826485">
      <w:pPr>
        <w:rPr>
          <w:rFonts w:eastAsiaTheme="minorHAnsi"/>
          <w:b/>
          <w:sz w:val="28"/>
          <w:szCs w:val="30"/>
          <w:lang w:eastAsia="en-US"/>
        </w:rPr>
      </w:pPr>
    </w:p>
    <w:p w:rsidR="00826485" w:rsidRPr="00D14D4E" w:rsidRDefault="00D14D4E" w:rsidP="00D14D4E">
      <w:pPr>
        <w:pStyle w:val="Akapitzlist"/>
        <w:numPr>
          <w:ilvl w:val="1"/>
          <w:numId w:val="18"/>
        </w:numPr>
        <w:rPr>
          <w:rFonts w:eastAsiaTheme="minorHAnsi"/>
          <w:b/>
          <w:sz w:val="28"/>
          <w:szCs w:val="30"/>
          <w:lang w:eastAsia="en-US"/>
        </w:rPr>
      </w:pPr>
      <w:r w:rsidRPr="00D14D4E">
        <w:rPr>
          <w:rFonts w:eastAsiaTheme="minorHAnsi"/>
          <w:b/>
          <w:sz w:val="28"/>
          <w:szCs w:val="30"/>
          <w:lang w:eastAsia="en-US"/>
        </w:rPr>
        <w:t xml:space="preserve"> </w:t>
      </w:r>
      <w:r w:rsidR="00826485" w:rsidRPr="00D14D4E">
        <w:rPr>
          <w:rFonts w:eastAsiaTheme="minorHAnsi"/>
          <w:b/>
          <w:sz w:val="28"/>
          <w:szCs w:val="30"/>
          <w:lang w:eastAsia="en-US"/>
        </w:rPr>
        <w:t>Dostosowanie zasobów lokalnego rynku pracy do zmieniających się oczekiwań i wyzwań tego rynku.</w:t>
      </w:r>
    </w:p>
    <w:p w:rsidR="00826485" w:rsidRDefault="00826485" w:rsidP="00826485">
      <w:pPr>
        <w:rPr>
          <w:rFonts w:eastAsiaTheme="minorHAnsi"/>
          <w:b/>
          <w:sz w:val="28"/>
          <w:szCs w:val="30"/>
          <w:lang w:eastAsia="en-US"/>
        </w:rPr>
      </w:pP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>W ramach aktywizacji zawodowej osób bezrobotnych i poszukujących pracy w 2019 roku  Powiatowy Urząd Pracy w Pleszewie pozyskał 2354 ofert</w:t>
      </w:r>
      <w:r w:rsidR="00D33B2A">
        <w:rPr>
          <w:rFonts w:eastAsia="Times New Roman"/>
          <w:sz w:val="24"/>
          <w:szCs w:val="24"/>
        </w:rPr>
        <w:t>y</w:t>
      </w:r>
      <w:r w:rsidRPr="005A1484">
        <w:rPr>
          <w:rFonts w:eastAsia="Times New Roman"/>
          <w:sz w:val="24"/>
          <w:szCs w:val="24"/>
        </w:rPr>
        <w:t xml:space="preserve"> pracy. Najwięcej ofert dotyczyło pracy na stanowisku: kierowca kat. CE, operator wózka widłowego, magazynier, szwaczka, sprzedawca, murarz, stolarz, spawacz, spedytor, operator sprzętu ciężkiego, robotnik przy pracach prostych. Ponadto w analizowanym okresie zorganizowano 3 giełdy pracy </w:t>
      </w:r>
      <w:r w:rsidR="00D33B2A">
        <w:rPr>
          <w:rFonts w:eastAsia="Times New Roman"/>
          <w:sz w:val="24"/>
          <w:szCs w:val="24"/>
        </w:rPr>
        <w:t xml:space="preserve">                      </w:t>
      </w:r>
      <w:r w:rsidRPr="005A1484">
        <w:rPr>
          <w:rFonts w:eastAsia="Times New Roman"/>
          <w:sz w:val="24"/>
          <w:szCs w:val="24"/>
        </w:rPr>
        <w:t>na  stanowisku: operator maszyn, spawacz, doradca klienta.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 xml:space="preserve">PUP Pleszew organizował  także dla osób bezrobotnych szkolenia oraz dofinansował udział </w:t>
      </w:r>
      <w:r w:rsidR="00D33B2A">
        <w:rPr>
          <w:rFonts w:eastAsia="Times New Roman"/>
          <w:sz w:val="24"/>
          <w:szCs w:val="24"/>
        </w:rPr>
        <w:t xml:space="preserve">             </w:t>
      </w:r>
      <w:r w:rsidRPr="005A1484">
        <w:rPr>
          <w:rFonts w:eastAsia="Times New Roman"/>
          <w:sz w:val="24"/>
          <w:szCs w:val="24"/>
        </w:rPr>
        <w:t xml:space="preserve">w studiach podyplomowych. W szkoleniach grupowych i indywidualnych udział wzięły 84 osoby, w tym w ramach bonów szkoleniowych 58 osób. Osoby bezrobotne brały głównie udział w następujących szkoleniach: prawo jazdy kat. C, CE, D wraz  z kwalifikacjami wstępnymi </w:t>
      </w:r>
      <w:r w:rsidR="00D33B2A">
        <w:rPr>
          <w:rFonts w:eastAsia="Times New Roman"/>
          <w:sz w:val="24"/>
          <w:szCs w:val="24"/>
        </w:rPr>
        <w:t xml:space="preserve">               </w:t>
      </w:r>
      <w:r w:rsidRPr="005A1484">
        <w:rPr>
          <w:rFonts w:eastAsia="Times New Roman"/>
          <w:sz w:val="24"/>
          <w:szCs w:val="24"/>
        </w:rPr>
        <w:t>na przewóz rzeczy lub osób, spawacz MAG, TIG, wózek jezdniowy z UDT.</w:t>
      </w:r>
    </w:p>
    <w:p w:rsidR="00C7607E" w:rsidRPr="00C7607E" w:rsidRDefault="00C7607E" w:rsidP="00C7607E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b/>
          <w:sz w:val="24"/>
          <w:szCs w:val="24"/>
        </w:rPr>
      </w:pPr>
      <w:r w:rsidRPr="00C7607E">
        <w:rPr>
          <w:rFonts w:eastAsia="Times New Roman"/>
          <w:b/>
          <w:sz w:val="24"/>
          <w:szCs w:val="24"/>
        </w:rPr>
        <w:t>W 2019 r. Powiatowy Urząd Pracy w Pleszewie pozyskał środki na walkę z bezrobociem w kwocie 3.572,5 tys. zł, w tym:</w:t>
      </w:r>
    </w:p>
    <w:p w:rsidR="00C7607E" w:rsidRPr="00D33B2A" w:rsidRDefault="00D33B2A" w:rsidP="00D33B2A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kwocie 610,4</w:t>
      </w:r>
      <w:r w:rsidR="00C7607E" w:rsidRPr="00D33B2A">
        <w:rPr>
          <w:rFonts w:eastAsia="Times New Roman"/>
          <w:sz w:val="24"/>
          <w:szCs w:val="24"/>
        </w:rPr>
        <w:t xml:space="preserve"> tys. zł z Funduszu Pracy przyznane tzw. algorytmem,</w:t>
      </w:r>
    </w:p>
    <w:p w:rsidR="00C7607E" w:rsidRPr="00D33B2A" w:rsidRDefault="00230323" w:rsidP="00D33B2A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kwocie 1.152</w:t>
      </w:r>
      <w:r w:rsidR="00C7607E" w:rsidRPr="00D33B2A">
        <w:rPr>
          <w:rFonts w:eastAsia="Times New Roman"/>
          <w:sz w:val="24"/>
          <w:szCs w:val="24"/>
        </w:rPr>
        <w:t>,0 tys. zł na realizację programów aktywizacji zawodowej</w:t>
      </w:r>
      <w:r w:rsidR="00D33B2A">
        <w:rPr>
          <w:rFonts w:eastAsia="Times New Roman"/>
          <w:sz w:val="24"/>
          <w:szCs w:val="24"/>
        </w:rPr>
        <w:t xml:space="preserve">                                       </w:t>
      </w:r>
      <w:r w:rsidR="00C7607E" w:rsidRPr="00D33B2A">
        <w:rPr>
          <w:rFonts w:eastAsia="Times New Roman"/>
          <w:sz w:val="24"/>
          <w:szCs w:val="24"/>
        </w:rPr>
        <w:t xml:space="preserve"> z Rezerwy Ministra (program dla osób niepełnosprawnych, program dla osób powracających z zagranicy)</w:t>
      </w:r>
    </w:p>
    <w:p w:rsidR="00C7607E" w:rsidRPr="00D33B2A" w:rsidRDefault="00D33B2A" w:rsidP="00D33B2A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kwocie 762,09</w:t>
      </w:r>
      <w:r w:rsidR="00C7607E" w:rsidRPr="00D33B2A">
        <w:rPr>
          <w:rFonts w:eastAsia="Times New Roman"/>
          <w:sz w:val="24"/>
          <w:szCs w:val="24"/>
        </w:rPr>
        <w:t xml:space="preserve"> tys. zł na realizację projektu „Aktywizacja osób młodych pozostających bez pracy w powiecie pleszewskim (V)”, współfinansowanego z Europejskiego Funduszu Społecznego,</w:t>
      </w:r>
    </w:p>
    <w:p w:rsidR="00C7607E" w:rsidRPr="00D33B2A" w:rsidRDefault="00D33B2A" w:rsidP="00D33B2A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kwocie 493.59</w:t>
      </w:r>
      <w:r w:rsidR="00C7607E" w:rsidRPr="00D33B2A">
        <w:rPr>
          <w:rFonts w:eastAsia="Times New Roman"/>
          <w:sz w:val="24"/>
          <w:szCs w:val="24"/>
        </w:rPr>
        <w:t xml:space="preserve"> tys. zł na realizację projektu „Aktywizacja zawodowa osób bezrobotnych i poszukujących pracy w powiecie pleszewskim (V)”, współfinansowanego z Europejskiego Funduszu Społecznego.</w:t>
      </w:r>
    </w:p>
    <w:p w:rsidR="00C7607E" w:rsidRPr="00C7607E" w:rsidRDefault="00C7607E" w:rsidP="00C7607E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C7607E">
        <w:rPr>
          <w:rFonts w:eastAsia="Times New Roman"/>
          <w:sz w:val="24"/>
          <w:szCs w:val="24"/>
        </w:rPr>
        <w:t>Ponadto w 2019 r. kontynuowane były projekty:</w:t>
      </w:r>
    </w:p>
    <w:p w:rsidR="005A1484" w:rsidRPr="005A1484" w:rsidRDefault="00C7607E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b/>
          <w:sz w:val="24"/>
          <w:szCs w:val="24"/>
        </w:rPr>
      </w:pPr>
      <w:r w:rsidRPr="00C7607E">
        <w:rPr>
          <w:rFonts w:eastAsia="Times New Roman"/>
          <w:b/>
          <w:sz w:val="24"/>
          <w:szCs w:val="24"/>
        </w:rPr>
        <w:t xml:space="preserve"> </w:t>
      </w:r>
      <w:r w:rsidR="005A1484" w:rsidRPr="005A1484">
        <w:rPr>
          <w:rFonts w:eastAsia="Times New Roman"/>
          <w:b/>
          <w:sz w:val="24"/>
          <w:szCs w:val="24"/>
        </w:rPr>
        <w:t>Projekt „Aktywizacja osób młodych pozostających bez pracy w powiecie pleszewskim (IV) współfinansowany ze środków Europejskiego Funduszu Społecznego w ramach Programu Operacyjnego Wiedza Edukacja Rozwój 2014-2020</w:t>
      </w:r>
      <w:r w:rsidR="005A1484" w:rsidRPr="005A1484">
        <w:rPr>
          <w:rFonts w:eastAsia="Times New Roman"/>
          <w:sz w:val="24"/>
          <w:szCs w:val="24"/>
        </w:rPr>
        <w:t xml:space="preserve"> (uchwała nr XXXIII/256/18 Rady Powiatu w Pleszewie z dnia 26 kwietnia 2018 r.).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lastRenderedPageBreak/>
        <w:t>Celem projektu „Aktywizacja osób młodych pozostających bez pracy w powiecie pleszewskim (IV)”, współfinansowanego z Europejskiego Funduszu Społecznego było zwiększenie możliwości zatrudnienia osób młodych do 29 roku życia pozostających bez pracy w powiecie pleszewskim.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 xml:space="preserve">Projekt realizowany był od 01.01.2018 r. do 30.06.2019 r. Wartość projektu 1 502,25 tys. zł, </w:t>
      </w:r>
      <w:r w:rsidRPr="005A1484">
        <w:rPr>
          <w:rFonts w:eastAsia="Times New Roman"/>
          <w:sz w:val="24"/>
          <w:szCs w:val="24"/>
        </w:rPr>
        <w:br/>
        <w:t>w tym w 2018 r. 1.155,58 tys. zł i w 2019 r. 346,67 tys. zł.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 xml:space="preserve">Uczestnikami projektu były osoby młode w wieku 18-29 lat bez pracy, w tym osoby </w:t>
      </w:r>
      <w:r w:rsidRPr="005A1484">
        <w:rPr>
          <w:rFonts w:eastAsia="Times New Roman"/>
          <w:sz w:val="24"/>
          <w:szCs w:val="24"/>
        </w:rPr>
        <w:br/>
        <w:t>z niepełnosprawnościami, zarejestrowane w PUP jako bezrobotne (dla których został ustalony I lub II profil pomocy), które nie uczestniczyły w kształceniu i szkoleniu (tzw. młodzież NEET) zgodnie z definicją osoby z kategorii NEET przyjętą w Programie Operacyjnym Wiedza Edukacja Rozwój 2014-2020. Udzielenie wsparcia w ramach projektu każdorazowo poprzedzone było identyfikacją potrzeb uczestnika projektu oraz opracowaniem lub aktualizacją dla każdego uczestnika projektu Indywidualnego Planu Działania, o którym mowa w art. 2 ust. 1 pkt 10 a i art. 34 a Ustawy o promocji zatrudnienia i instytucjach rynku pracy.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 xml:space="preserve">Grupę docelową stanowiło 196 osób. Zostali oni skierowani na staże, bony szkoleniowe </w:t>
      </w:r>
      <w:r w:rsidRPr="005A1484">
        <w:rPr>
          <w:rFonts w:eastAsia="Times New Roman"/>
          <w:sz w:val="24"/>
          <w:szCs w:val="24"/>
        </w:rPr>
        <w:br/>
        <w:t>lub jednorazowe środki na podjęcie działalności gospodarczej.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 xml:space="preserve">W 2019 </w:t>
      </w:r>
      <w:r w:rsidR="00C7607E">
        <w:rPr>
          <w:rFonts w:eastAsia="Times New Roman"/>
          <w:sz w:val="24"/>
          <w:szCs w:val="24"/>
        </w:rPr>
        <w:t xml:space="preserve">roku w ramach projektu </w:t>
      </w:r>
      <w:r w:rsidRPr="005A1484">
        <w:rPr>
          <w:rFonts w:eastAsia="Times New Roman"/>
          <w:sz w:val="24"/>
          <w:szCs w:val="24"/>
        </w:rPr>
        <w:t>staż odbyło 7 osób, skierowano na szkolenia w ramach bon</w:t>
      </w:r>
      <w:r w:rsidR="00C7607E">
        <w:rPr>
          <w:rFonts w:eastAsia="Times New Roman"/>
          <w:sz w:val="24"/>
          <w:szCs w:val="24"/>
        </w:rPr>
        <w:t>ów szkoleniowych 25 osób, 2 osoby otrzymały</w:t>
      </w:r>
      <w:r w:rsidRPr="005A1484">
        <w:rPr>
          <w:rFonts w:eastAsia="Times New Roman"/>
          <w:sz w:val="24"/>
          <w:szCs w:val="24"/>
        </w:rPr>
        <w:t xml:space="preserve"> jednorazowe środki na</w:t>
      </w:r>
      <w:r w:rsidRPr="005A1484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</w:t>
      </w:r>
      <w:r w:rsidR="00C7607E">
        <w:rPr>
          <w:rFonts w:eastAsia="Times New Roman"/>
          <w:sz w:val="24"/>
          <w:szCs w:val="24"/>
        </w:rPr>
        <w:t>działalność.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b/>
          <w:sz w:val="24"/>
          <w:szCs w:val="24"/>
        </w:rPr>
        <w:t>Projekt „Aktywizacja zawodowa osób bezrobotnych i poszukujących pracy w powiecie pleszewskim (IV)” współfinansowany ze środków Europejskiego Funduszu Społecznego w ramach Wielkopolskiego Regionalnego Programu Operacyjnego 2014-2020</w:t>
      </w:r>
      <w:r w:rsidRPr="005A1484">
        <w:rPr>
          <w:rFonts w:eastAsia="Times New Roman"/>
          <w:sz w:val="24"/>
          <w:szCs w:val="24"/>
        </w:rPr>
        <w:t xml:space="preserve"> (uchwała nr XXXIII/257/28 Rady Powiatu w Pleszewie z dnia 26 kwietnia 2018 r.).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>Celem projektu „Aktywizacja zawodowa osób bezrobotnych i poszukujących pracy w powiecie pleszewskim (IV)”, współfinansowanego z Europejskiego Funduszu Społecznego było zwiększenie możliwości zatrudnienia osób powyżej 29 roku życia pozostających bez pracy, zarejestrowanych w PUP Pleszew.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 xml:space="preserve">Projekt realizowany był od 01.01.2018 r. do 30.06.2019 r. Wartość projektu 900,15 tys. zł, </w:t>
      </w:r>
      <w:r w:rsidRPr="005A1484">
        <w:rPr>
          <w:rFonts w:eastAsia="Times New Roman"/>
          <w:sz w:val="24"/>
          <w:szCs w:val="24"/>
        </w:rPr>
        <w:br/>
        <w:t xml:space="preserve">w tym w 2018 r. 692,43 tys. zł i w 2019 r. 207,72 tys. zł. 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 xml:space="preserve">Uczestnikami projektu były osoby powyżej 29 roku życia zakwalifikowane do profilu pomocy I (tzw. bezrobotni aktywni) lub profilu pomocy II (tzw. wymagający wsparcia), należący co </w:t>
      </w:r>
      <w:r w:rsidRPr="005A1484">
        <w:rPr>
          <w:rFonts w:eastAsia="Times New Roman"/>
          <w:sz w:val="24"/>
          <w:szCs w:val="24"/>
        </w:rPr>
        <w:lastRenderedPageBreak/>
        <w:t>najmniej do jednej z poniższych grup: osoby długotrwale bezrobotne, kobiety, osoby z niepełnosprawnościami, osoby o niskich kwalifikacjach, osoby w wieku 50 lat i więcej. Udzielenie wsparcia w ramach projektu każdorazowo poprzedzone było identyfikacją potrzeb uczestnika projektu oraz opracowaniem lub aktualizacją dla każdego uczestnika projektu Indywidualnego Planu Działania, o którym mowa w art. 2 ust. 1 pkt 10 a i art. 34 a Ustawy</w:t>
      </w:r>
      <w:r w:rsidR="00246FBD">
        <w:rPr>
          <w:rFonts w:eastAsia="Times New Roman"/>
          <w:sz w:val="24"/>
          <w:szCs w:val="24"/>
        </w:rPr>
        <w:t xml:space="preserve">               </w:t>
      </w:r>
      <w:r w:rsidRPr="005A1484">
        <w:rPr>
          <w:rFonts w:eastAsia="Times New Roman"/>
          <w:sz w:val="24"/>
          <w:szCs w:val="24"/>
        </w:rPr>
        <w:t xml:space="preserve"> o promocji zatrudnienia i instytucjach rynku pracy.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 xml:space="preserve">Grupę docelową stanowiło 107 osób. Zostali oni skierowani na staże, szkolenia </w:t>
      </w:r>
      <w:r w:rsidRPr="005A1484">
        <w:rPr>
          <w:rFonts w:eastAsia="Times New Roman"/>
          <w:sz w:val="24"/>
          <w:szCs w:val="24"/>
        </w:rPr>
        <w:br/>
        <w:t>lub jednorazowe środki na podjęcie działalności gospodarczej.</w:t>
      </w:r>
    </w:p>
    <w:p w:rsid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>W 2019 roku w ramach projektu WRPO IV na  na szkolenia skierowano 4 osoby, 10 osób otrzymało jednorazowe środki na podjęcie działalności gospodarczej.</w:t>
      </w:r>
    </w:p>
    <w:p w:rsid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b/>
          <w:sz w:val="24"/>
          <w:szCs w:val="24"/>
        </w:rPr>
      </w:pPr>
      <w:r w:rsidRPr="005A1484">
        <w:rPr>
          <w:rFonts w:eastAsia="Times New Roman"/>
          <w:b/>
          <w:sz w:val="24"/>
          <w:szCs w:val="24"/>
        </w:rPr>
        <w:t>Ponadto w 2019 r. rozpoczęła się realizacja projektów: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b/>
          <w:sz w:val="24"/>
          <w:szCs w:val="24"/>
        </w:rPr>
        <w:t>Projekt „Aktywizacja osób młodych pozostających bez pracy w powiecie pleszewskim (V) współfinansowany ze środków Europejskiego Funduszu Społecznego w ramach Programu Operacyjnego Wiedza Edukacja Rozwój 2014-2020</w:t>
      </w:r>
      <w:r w:rsidRPr="005A1484">
        <w:rPr>
          <w:rFonts w:eastAsia="Times New Roman"/>
          <w:sz w:val="24"/>
          <w:szCs w:val="24"/>
        </w:rPr>
        <w:t xml:space="preserve"> (uchwała nr XXXVI/283/18 Rady Powiatu w Pleszewie z dnia 20 sierpnia 2018 r.).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>Celem projektu „Aktywizacja osób młodych pozostających bez pracy w powiecie pleszewskim (V)”, współfinansowanego z Europejskiego Funduszu Społecznego jest zwiększenie możliwości zatrudnienia osób młodych do 29 roku życia pozostających bez pracy w powiecie pleszewskim.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>Projekt realizowany jest od 01.01.2019 r. do 31.12.2020 r. Wartość projektu 1.888</w:t>
      </w:r>
      <w:r w:rsidR="002718C4">
        <w:rPr>
          <w:rFonts w:eastAsia="Times New Roman"/>
          <w:sz w:val="24"/>
          <w:szCs w:val="24"/>
        </w:rPr>
        <w:t>, 85</w:t>
      </w:r>
      <w:r w:rsidRPr="005A1484">
        <w:rPr>
          <w:rFonts w:eastAsia="Times New Roman"/>
          <w:sz w:val="24"/>
          <w:szCs w:val="24"/>
        </w:rPr>
        <w:t xml:space="preserve"> tys. zł, w tym w 2019 r. 762</w:t>
      </w:r>
      <w:r w:rsidR="002718C4">
        <w:rPr>
          <w:rFonts w:eastAsia="Times New Roman"/>
          <w:sz w:val="24"/>
          <w:szCs w:val="24"/>
        </w:rPr>
        <w:t>,09 tys. zł.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 xml:space="preserve">Grupę docelową stanowi 180 osób. Zostaną oni skierowani na staże, bony szkoleniowe </w:t>
      </w:r>
      <w:r w:rsidRPr="005A1484">
        <w:rPr>
          <w:rFonts w:eastAsia="Times New Roman"/>
          <w:sz w:val="24"/>
          <w:szCs w:val="24"/>
        </w:rPr>
        <w:br/>
        <w:t>lub otrzymają jednorazowe środki na podjęcie działalności gospodarczej.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>W 2019</w:t>
      </w:r>
      <w:r w:rsidR="00C7607E">
        <w:rPr>
          <w:rFonts w:eastAsia="Times New Roman"/>
          <w:sz w:val="24"/>
          <w:szCs w:val="24"/>
        </w:rPr>
        <w:t xml:space="preserve"> roku w ramach projektu </w:t>
      </w:r>
      <w:r w:rsidRPr="005A1484">
        <w:rPr>
          <w:rFonts w:eastAsia="Times New Roman"/>
          <w:sz w:val="24"/>
          <w:szCs w:val="24"/>
        </w:rPr>
        <w:t xml:space="preserve">staż odbyło 49 osób, skierowano na szkolenia w ramach bonów szkoleniowych 31 osób, 17 osób otrzymało </w:t>
      </w:r>
      <w:r w:rsidR="00452CAF">
        <w:rPr>
          <w:rFonts w:eastAsia="Times New Roman"/>
          <w:sz w:val="24"/>
          <w:szCs w:val="24"/>
        </w:rPr>
        <w:t xml:space="preserve">jednorazowe środki na podjęcie działalności </w:t>
      </w:r>
      <w:r w:rsidR="002718C4">
        <w:rPr>
          <w:rFonts w:eastAsia="Times New Roman"/>
          <w:sz w:val="24"/>
          <w:szCs w:val="24"/>
        </w:rPr>
        <w:t>gospodarczej.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b/>
          <w:sz w:val="24"/>
          <w:szCs w:val="24"/>
        </w:rPr>
        <w:t>Projekt „Aktywizacja zawodowa osób bezrobotnych i poszukujących pracy w powiecie pleszewskim (V)” współfinansowany ze środków Europejskiego Funduszu Społecznego</w:t>
      </w:r>
      <w:r w:rsidR="00246FBD">
        <w:rPr>
          <w:rFonts w:eastAsia="Times New Roman"/>
          <w:b/>
          <w:sz w:val="24"/>
          <w:szCs w:val="24"/>
        </w:rPr>
        <w:t xml:space="preserve">            </w:t>
      </w:r>
      <w:r w:rsidRPr="005A1484">
        <w:rPr>
          <w:rFonts w:eastAsia="Times New Roman"/>
          <w:b/>
          <w:sz w:val="24"/>
          <w:szCs w:val="24"/>
        </w:rPr>
        <w:t xml:space="preserve"> w ramach Wielkopolskiego Regionalnego Programu Operacyjnego 2014-2020</w:t>
      </w:r>
      <w:r w:rsidRPr="005A1484">
        <w:rPr>
          <w:rFonts w:eastAsia="Times New Roman"/>
          <w:sz w:val="24"/>
          <w:szCs w:val="24"/>
        </w:rPr>
        <w:t xml:space="preserve"> (uchwała nr VII/26/2019 Rady Powiatu w Pleszewie z dnia 25 czerwca 2019 r.).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lastRenderedPageBreak/>
        <w:t>Celem projektu „Aktywizacja zawodowa osób bezrobotnych i poszukujących pracy w powiecie pleszewskim (V)”, współfinansowanego z Europejskiego Funduszu Społecznego jest zwiększenie możliwości zatrudnienia osób powyżej 29 roku życia pozostających bez pracy, zarejestrowanych w PUP Pleszew.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 xml:space="preserve">Projekt realizowany jest od 01.01.2019 r. do 31.12.2020 </w:t>
      </w:r>
      <w:r w:rsidR="002718C4">
        <w:rPr>
          <w:rFonts w:eastAsia="Times New Roman"/>
          <w:sz w:val="24"/>
          <w:szCs w:val="24"/>
        </w:rPr>
        <w:t>r. Wartość projektu 1.275,62</w:t>
      </w:r>
      <w:r w:rsidRPr="005A1484">
        <w:rPr>
          <w:rFonts w:eastAsia="Times New Roman"/>
          <w:sz w:val="24"/>
          <w:szCs w:val="24"/>
        </w:rPr>
        <w:t xml:space="preserve"> tys. zł, </w:t>
      </w:r>
      <w:r w:rsidR="002718C4">
        <w:rPr>
          <w:rFonts w:eastAsia="Times New Roman"/>
          <w:sz w:val="24"/>
          <w:szCs w:val="24"/>
        </w:rPr>
        <w:t xml:space="preserve">    </w:t>
      </w:r>
      <w:r w:rsidRPr="005A1484">
        <w:rPr>
          <w:rFonts w:eastAsia="Times New Roman"/>
          <w:sz w:val="24"/>
          <w:szCs w:val="24"/>
        </w:rPr>
        <w:t>w t</w:t>
      </w:r>
      <w:r w:rsidR="002718C4">
        <w:rPr>
          <w:rFonts w:eastAsia="Times New Roman"/>
          <w:sz w:val="24"/>
          <w:szCs w:val="24"/>
        </w:rPr>
        <w:t>ym w 2019 r. 493,59 tys. zł.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 xml:space="preserve">Grupę docelową stanowi 157 osób. Zostaną oni skierowani na staże, szkolenia </w:t>
      </w:r>
      <w:r w:rsidRPr="005A1484">
        <w:rPr>
          <w:rFonts w:eastAsia="Times New Roman"/>
          <w:sz w:val="24"/>
          <w:szCs w:val="24"/>
        </w:rPr>
        <w:br/>
        <w:t>lub otrzymają jednorazowe środki na podjęcie działalności gospodarczej.</w:t>
      </w:r>
    </w:p>
    <w:p w:rsidR="005A1484" w:rsidRPr="005A1484" w:rsidRDefault="005A1484" w:rsidP="005A1484">
      <w:pPr>
        <w:widowControl/>
        <w:autoSpaceDE/>
        <w:autoSpaceDN/>
        <w:adjustRightInd/>
        <w:spacing w:after="160" w:line="360" w:lineRule="auto"/>
        <w:jc w:val="both"/>
        <w:rPr>
          <w:rFonts w:eastAsia="Times New Roman"/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ab/>
        <w:t>W 2019 roku w ramach projektu WRPO V na staże skierowano 46 osób, na szkolenia 16 osób, 10 osób otrzymało jednorazowe środki na podjęcie działalności gospodarczej.</w:t>
      </w:r>
    </w:p>
    <w:p w:rsidR="000B79E8" w:rsidRPr="00C7607E" w:rsidRDefault="000B79E8" w:rsidP="00C7607E">
      <w:pPr>
        <w:pStyle w:val="Tekstpodstawowy"/>
        <w:spacing w:line="360" w:lineRule="auto"/>
        <w:ind w:right="307"/>
        <w:jc w:val="both"/>
        <w:rPr>
          <w:rFonts w:ascii="Times New Roman" w:hAnsi="Times New Roman" w:cs="Times New Roman"/>
          <w:color w:val="auto"/>
          <w:sz w:val="24"/>
        </w:rPr>
      </w:pPr>
    </w:p>
    <w:p w:rsidR="00826485" w:rsidRPr="00D14D4E" w:rsidRDefault="00D14D4E" w:rsidP="00D14D4E">
      <w:pPr>
        <w:pStyle w:val="Akapitzlist"/>
        <w:numPr>
          <w:ilvl w:val="1"/>
          <w:numId w:val="18"/>
        </w:numPr>
        <w:rPr>
          <w:rFonts w:eastAsiaTheme="minorHAnsi"/>
          <w:b/>
          <w:sz w:val="28"/>
          <w:szCs w:val="30"/>
          <w:lang w:eastAsia="en-US"/>
        </w:rPr>
      </w:pPr>
      <w:r w:rsidRPr="00D14D4E">
        <w:rPr>
          <w:rFonts w:eastAsiaTheme="minorHAnsi"/>
          <w:b/>
          <w:sz w:val="28"/>
          <w:szCs w:val="30"/>
          <w:lang w:eastAsia="en-US"/>
        </w:rPr>
        <w:t xml:space="preserve"> </w:t>
      </w:r>
      <w:r w:rsidR="00826485" w:rsidRPr="00D14D4E">
        <w:rPr>
          <w:rFonts w:eastAsiaTheme="minorHAnsi"/>
          <w:b/>
          <w:sz w:val="28"/>
          <w:szCs w:val="30"/>
          <w:lang w:eastAsia="en-US"/>
        </w:rPr>
        <w:t>Wsparcie integracji społecznej i zawodowej.</w:t>
      </w:r>
    </w:p>
    <w:p w:rsidR="00826485" w:rsidRDefault="00826485" w:rsidP="00826485">
      <w:pPr>
        <w:rPr>
          <w:rFonts w:eastAsiaTheme="minorHAnsi"/>
          <w:b/>
          <w:sz w:val="28"/>
          <w:szCs w:val="30"/>
          <w:lang w:eastAsia="en-US"/>
        </w:rPr>
      </w:pPr>
    </w:p>
    <w:p w:rsidR="00ED21EC" w:rsidRPr="00FF1A9B" w:rsidRDefault="00ED21EC" w:rsidP="00ED21EC">
      <w:pPr>
        <w:spacing w:line="360" w:lineRule="auto"/>
        <w:jc w:val="both"/>
        <w:rPr>
          <w:sz w:val="24"/>
          <w:szCs w:val="24"/>
        </w:rPr>
      </w:pPr>
    </w:p>
    <w:p w:rsidR="00C7607E" w:rsidRDefault="00C7607E" w:rsidP="00C7607E">
      <w:pPr>
        <w:spacing w:line="360" w:lineRule="auto"/>
        <w:ind w:firstLine="708"/>
        <w:jc w:val="both"/>
        <w:rPr>
          <w:sz w:val="24"/>
          <w:szCs w:val="24"/>
        </w:rPr>
      </w:pPr>
      <w:r w:rsidRPr="005A1484">
        <w:rPr>
          <w:rFonts w:eastAsia="Times New Roman"/>
          <w:sz w:val="24"/>
          <w:szCs w:val="24"/>
        </w:rPr>
        <w:t>W zakresie doradztwa zawodowego odbywały się indywidualne i grupowe porady zawodowe oraz informacja zawodowa. W 2019 roku porad indywidualnych udzielono 308 osobom, porad grupowych 596 osobom, grupowych informacji zawodowych 908 osobom,                     a indywidualnych informacji zawodowych 93 osobom. Tematyka zajęć z doradcami zawodowymi poświęcona była głównie zagadnieniom związanym z rynkiem pracy: sporządzanie dokumentów aplikacyjnych, zasady skutecznej autoprezentacji, asertywność, zmiany w</w:t>
      </w:r>
      <w:r>
        <w:rPr>
          <w:rFonts w:eastAsia="Times New Roman"/>
          <w:sz w:val="24"/>
          <w:szCs w:val="24"/>
        </w:rPr>
        <w:t xml:space="preserve"> prawie pracy, metody</w:t>
      </w:r>
      <w:r w:rsidRPr="005A1484">
        <w:rPr>
          <w:rFonts w:eastAsia="Times New Roman"/>
          <w:sz w:val="24"/>
          <w:szCs w:val="24"/>
        </w:rPr>
        <w:t xml:space="preserve"> i techniki motywacji.</w:t>
      </w:r>
    </w:p>
    <w:p w:rsidR="00F434A3" w:rsidRDefault="002718C4" w:rsidP="00ED21E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roku 2019</w:t>
      </w:r>
      <w:r w:rsidR="00F434A3" w:rsidRPr="00FF1A9B">
        <w:rPr>
          <w:sz w:val="24"/>
          <w:szCs w:val="24"/>
        </w:rPr>
        <w:t xml:space="preserve"> działania realizowane przez Powiatowy Urząd Pr</w:t>
      </w:r>
      <w:r w:rsidR="002A65AA">
        <w:rPr>
          <w:sz w:val="24"/>
          <w:szCs w:val="24"/>
        </w:rPr>
        <w:t>acy w Pleszewie skupiały się głó</w:t>
      </w:r>
      <w:r w:rsidR="00F434A3" w:rsidRPr="00FF1A9B">
        <w:rPr>
          <w:sz w:val="24"/>
          <w:szCs w:val="24"/>
        </w:rPr>
        <w:t>wnie na osobach bezrobotnych do 30 roku życia, posiadających niskie kwalifikacje zawodowe oraz długotrwale bezrobotnych. W wyniku podjętych działań osoby te zostały skierowane na odpowiednie szkolenia zawodowe, bony szkoleniowe oraz staże, które dały szanse na postawienie pierwszych kroków na rynku pracy.</w:t>
      </w:r>
    </w:p>
    <w:p w:rsidR="00C62B19" w:rsidRDefault="00C62B19" w:rsidP="00ED21EC">
      <w:pPr>
        <w:spacing w:line="360" w:lineRule="auto"/>
        <w:ind w:firstLine="708"/>
        <w:jc w:val="both"/>
        <w:rPr>
          <w:sz w:val="24"/>
          <w:szCs w:val="24"/>
        </w:rPr>
      </w:pPr>
    </w:p>
    <w:p w:rsidR="00C7607E" w:rsidRDefault="00C7607E" w:rsidP="00ED21EC">
      <w:pPr>
        <w:spacing w:line="360" w:lineRule="auto"/>
        <w:ind w:firstLine="708"/>
        <w:jc w:val="both"/>
        <w:rPr>
          <w:sz w:val="24"/>
          <w:szCs w:val="24"/>
        </w:rPr>
      </w:pPr>
    </w:p>
    <w:p w:rsidR="00C7607E" w:rsidRDefault="00C7607E" w:rsidP="00ED21EC">
      <w:pPr>
        <w:spacing w:line="360" w:lineRule="auto"/>
        <w:ind w:firstLine="708"/>
        <w:jc w:val="both"/>
        <w:rPr>
          <w:sz w:val="24"/>
          <w:szCs w:val="24"/>
        </w:rPr>
      </w:pPr>
    </w:p>
    <w:p w:rsidR="00C7607E" w:rsidRDefault="00C7607E" w:rsidP="00ED21EC">
      <w:pPr>
        <w:spacing w:line="360" w:lineRule="auto"/>
        <w:ind w:firstLine="708"/>
        <w:jc w:val="both"/>
        <w:rPr>
          <w:sz w:val="24"/>
          <w:szCs w:val="24"/>
        </w:rPr>
      </w:pPr>
    </w:p>
    <w:p w:rsidR="00C7607E" w:rsidRDefault="00C7607E" w:rsidP="00ED21EC">
      <w:pPr>
        <w:spacing w:line="360" w:lineRule="auto"/>
        <w:ind w:firstLine="708"/>
        <w:jc w:val="both"/>
        <w:rPr>
          <w:sz w:val="24"/>
          <w:szCs w:val="24"/>
        </w:rPr>
      </w:pPr>
    </w:p>
    <w:p w:rsidR="002718C4" w:rsidRDefault="002718C4" w:rsidP="00826485">
      <w:pPr>
        <w:rPr>
          <w:sz w:val="24"/>
          <w:szCs w:val="24"/>
        </w:rPr>
      </w:pPr>
    </w:p>
    <w:p w:rsidR="00913757" w:rsidRPr="00ED065E" w:rsidRDefault="00913757" w:rsidP="00826485">
      <w:pPr>
        <w:rPr>
          <w:rFonts w:eastAsiaTheme="minorHAnsi"/>
          <w:b/>
          <w:sz w:val="28"/>
          <w:szCs w:val="30"/>
          <w:lang w:eastAsia="en-US"/>
        </w:rPr>
      </w:pPr>
    </w:p>
    <w:p w:rsidR="00826485" w:rsidRPr="00D14D4E" w:rsidRDefault="00826485" w:rsidP="00D14D4E">
      <w:pPr>
        <w:pStyle w:val="Akapitzlist"/>
        <w:numPr>
          <w:ilvl w:val="1"/>
          <w:numId w:val="18"/>
        </w:numPr>
        <w:rPr>
          <w:rFonts w:eastAsiaTheme="minorHAnsi"/>
          <w:b/>
          <w:sz w:val="28"/>
          <w:szCs w:val="30"/>
          <w:lang w:eastAsia="en-US"/>
        </w:rPr>
      </w:pPr>
      <w:r w:rsidRPr="00D14D4E">
        <w:rPr>
          <w:rFonts w:eastAsiaTheme="minorHAnsi"/>
          <w:b/>
          <w:sz w:val="28"/>
          <w:szCs w:val="30"/>
          <w:lang w:eastAsia="en-US"/>
        </w:rPr>
        <w:lastRenderedPageBreak/>
        <w:t>Wsparcie osób powyżej 50 r.ż.</w:t>
      </w:r>
    </w:p>
    <w:p w:rsidR="00826485" w:rsidRDefault="00826485" w:rsidP="00826485">
      <w:pPr>
        <w:rPr>
          <w:rFonts w:eastAsiaTheme="minorHAnsi"/>
          <w:b/>
          <w:sz w:val="28"/>
          <w:szCs w:val="30"/>
          <w:lang w:eastAsia="en-US"/>
        </w:rPr>
      </w:pPr>
    </w:p>
    <w:p w:rsidR="00826485" w:rsidRDefault="00230323" w:rsidP="00826485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Wykres 3</w:t>
      </w:r>
    </w:p>
    <w:p w:rsidR="00826485" w:rsidRDefault="00826485" w:rsidP="00826485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 xml:space="preserve">Osoby powyżej 50 r. ż </w:t>
      </w:r>
    </w:p>
    <w:p w:rsidR="00826485" w:rsidRPr="00FC1A3B" w:rsidRDefault="00826485" w:rsidP="00826485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w stosunku do wszystkich zarejestr</w:t>
      </w:r>
      <w:r w:rsidR="00C7607E">
        <w:rPr>
          <w:rFonts w:eastAsiaTheme="minorHAnsi"/>
          <w:b/>
          <w:sz w:val="28"/>
          <w:szCs w:val="30"/>
          <w:lang w:eastAsia="en-US"/>
        </w:rPr>
        <w:t>owanych osób bezrobotnych w 2019</w:t>
      </w:r>
      <w:r>
        <w:rPr>
          <w:rFonts w:eastAsiaTheme="minorHAnsi"/>
          <w:b/>
          <w:sz w:val="28"/>
          <w:szCs w:val="30"/>
          <w:lang w:eastAsia="en-US"/>
        </w:rPr>
        <w:t xml:space="preserve"> r.</w:t>
      </w:r>
    </w:p>
    <w:p w:rsidR="00826485" w:rsidRDefault="00826485" w:rsidP="00826485">
      <w:pPr>
        <w:rPr>
          <w:rFonts w:eastAsiaTheme="minorHAnsi"/>
          <w:b/>
          <w:sz w:val="28"/>
          <w:szCs w:val="30"/>
          <w:lang w:eastAsia="en-US"/>
        </w:rPr>
      </w:pPr>
    </w:p>
    <w:p w:rsidR="00826485" w:rsidRDefault="006C2464" w:rsidP="00826485">
      <w:pPr>
        <w:rPr>
          <w:rFonts w:eastAsiaTheme="minorHAnsi"/>
          <w:b/>
          <w:sz w:val="28"/>
          <w:szCs w:val="30"/>
          <w:lang w:eastAsia="en-US"/>
        </w:rPr>
      </w:pPr>
      <w:r>
        <w:rPr>
          <w:noProof/>
        </w:rPr>
        <w:drawing>
          <wp:inline distT="0" distB="0" distL="0" distR="0" wp14:anchorId="609C8CAE" wp14:editId="227B7FD4">
            <wp:extent cx="5781675" cy="2743200"/>
            <wp:effectExtent l="0" t="0" r="9525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54BB" w:rsidRDefault="00C854BB" w:rsidP="00826485">
      <w:pPr>
        <w:rPr>
          <w:rFonts w:eastAsiaTheme="minorHAnsi"/>
          <w:lang w:eastAsia="en-US"/>
        </w:rPr>
      </w:pPr>
    </w:p>
    <w:p w:rsidR="00826485" w:rsidRDefault="00826485" w:rsidP="0082648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Źródło: Dane własne PUP Pleszew.</w:t>
      </w:r>
    </w:p>
    <w:p w:rsidR="007958A5" w:rsidRDefault="007958A5" w:rsidP="00826485">
      <w:pPr>
        <w:rPr>
          <w:rFonts w:eastAsiaTheme="minorHAnsi"/>
          <w:lang w:eastAsia="en-US"/>
        </w:rPr>
      </w:pPr>
    </w:p>
    <w:p w:rsidR="007958A5" w:rsidRDefault="00FF4369" w:rsidP="003655E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Według </w:t>
      </w:r>
      <w:r w:rsidR="006C2464">
        <w:rPr>
          <w:rFonts w:eastAsiaTheme="minorHAnsi"/>
          <w:sz w:val="24"/>
          <w:szCs w:val="24"/>
          <w:lang w:eastAsia="en-US"/>
        </w:rPr>
        <w:t>stanu na 31.12.2019</w:t>
      </w:r>
      <w:r w:rsidR="007958A5">
        <w:rPr>
          <w:rFonts w:eastAsiaTheme="minorHAnsi"/>
          <w:sz w:val="24"/>
          <w:szCs w:val="24"/>
          <w:lang w:eastAsia="en-US"/>
        </w:rPr>
        <w:t xml:space="preserve"> r. liczba osób bezrobotnych powyżej 50 r. ż. wynosiła  </w:t>
      </w:r>
      <w:r w:rsidR="006C2464">
        <w:rPr>
          <w:rFonts w:eastAsiaTheme="minorHAnsi"/>
          <w:sz w:val="24"/>
          <w:szCs w:val="24"/>
          <w:lang w:eastAsia="en-US"/>
        </w:rPr>
        <w:t>188</w:t>
      </w:r>
      <w:r w:rsidR="007958A5">
        <w:rPr>
          <w:rFonts w:eastAsiaTheme="minorHAnsi"/>
          <w:sz w:val="24"/>
          <w:szCs w:val="24"/>
          <w:lang w:eastAsia="en-US"/>
        </w:rPr>
        <w:t xml:space="preserve">, co stanowiło </w:t>
      </w:r>
      <w:r w:rsidR="006C2464">
        <w:rPr>
          <w:rFonts w:eastAsiaTheme="minorHAnsi"/>
          <w:sz w:val="24"/>
          <w:szCs w:val="24"/>
          <w:lang w:eastAsia="en-US"/>
        </w:rPr>
        <w:t>19,13</w:t>
      </w:r>
      <w:r w:rsidR="007958A5">
        <w:rPr>
          <w:rFonts w:eastAsiaTheme="minorHAnsi"/>
          <w:sz w:val="24"/>
          <w:szCs w:val="24"/>
          <w:lang w:eastAsia="en-US"/>
        </w:rPr>
        <w:t xml:space="preserve">% ogółu osób bezrobotnych.  </w:t>
      </w:r>
      <w:r w:rsidR="00E2150A">
        <w:rPr>
          <w:rFonts w:eastAsiaTheme="minorHAnsi"/>
          <w:sz w:val="24"/>
          <w:szCs w:val="24"/>
          <w:lang w:eastAsia="en-US"/>
        </w:rPr>
        <w:t>W porównaniu natomiast do 2018 r. liczba osób pow. 50 r.ż. wzrosła o 7%.</w:t>
      </w:r>
    </w:p>
    <w:p w:rsidR="00690E22" w:rsidRDefault="00E2150A" w:rsidP="003655E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 2019</w:t>
      </w:r>
      <w:r w:rsidR="00B02C5E">
        <w:rPr>
          <w:rFonts w:eastAsiaTheme="minorHAnsi"/>
          <w:sz w:val="24"/>
          <w:szCs w:val="24"/>
          <w:lang w:eastAsia="en-US"/>
        </w:rPr>
        <w:t xml:space="preserve"> r.  Powiatowy Urząd Pracy w Pleszewie aktywizował tę grupę osób bezrobotnych poprzez </w:t>
      </w:r>
      <w:r w:rsidR="00FF4369">
        <w:rPr>
          <w:rFonts w:eastAsiaTheme="minorHAnsi"/>
          <w:sz w:val="24"/>
          <w:szCs w:val="24"/>
          <w:lang w:eastAsia="en-US"/>
        </w:rPr>
        <w:t>udział w szkoleniach, stażach, robotach publicznych</w:t>
      </w:r>
      <w:r w:rsidR="0051484A">
        <w:rPr>
          <w:rFonts w:eastAsiaTheme="minorHAnsi"/>
          <w:sz w:val="24"/>
          <w:szCs w:val="24"/>
          <w:lang w:eastAsia="en-US"/>
        </w:rPr>
        <w:t xml:space="preserve">. </w:t>
      </w:r>
      <w:r w:rsidR="00B02C5E">
        <w:rPr>
          <w:rFonts w:eastAsiaTheme="minorHAnsi"/>
          <w:sz w:val="24"/>
          <w:szCs w:val="24"/>
          <w:lang w:eastAsia="en-US"/>
        </w:rPr>
        <w:t>Środki pozyskane zostały przede wszystkim z rezerwy ministra oraz z Wielkopolskiego Regionalnego Programu Operacyjnego.</w:t>
      </w:r>
    </w:p>
    <w:p w:rsidR="0051484A" w:rsidRDefault="00E2150A" w:rsidP="003655E8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2019</w:t>
      </w:r>
      <w:r w:rsidR="00690E22">
        <w:rPr>
          <w:rFonts w:eastAsiaTheme="minorHAnsi"/>
          <w:sz w:val="24"/>
          <w:szCs w:val="24"/>
          <w:lang w:eastAsia="en-US"/>
        </w:rPr>
        <w:t xml:space="preserve"> r. na staż</w:t>
      </w:r>
      <w:r w:rsidR="00073476">
        <w:rPr>
          <w:rFonts w:eastAsiaTheme="minorHAnsi"/>
          <w:sz w:val="24"/>
          <w:szCs w:val="24"/>
          <w:lang w:eastAsia="en-US"/>
        </w:rPr>
        <w:t>e</w:t>
      </w:r>
      <w:r w:rsidR="00690E22">
        <w:rPr>
          <w:rFonts w:eastAsiaTheme="minorHAnsi"/>
          <w:sz w:val="24"/>
          <w:szCs w:val="24"/>
          <w:lang w:eastAsia="en-US"/>
        </w:rPr>
        <w:t xml:space="preserve"> skie</w:t>
      </w:r>
      <w:r w:rsidR="00B93141">
        <w:rPr>
          <w:rFonts w:eastAsiaTheme="minorHAnsi"/>
          <w:sz w:val="24"/>
          <w:szCs w:val="24"/>
          <w:lang w:eastAsia="en-US"/>
        </w:rPr>
        <w:t xml:space="preserve">rowano </w:t>
      </w:r>
      <w:r w:rsidR="002718C4">
        <w:rPr>
          <w:rFonts w:eastAsiaTheme="minorHAnsi"/>
          <w:sz w:val="24"/>
          <w:szCs w:val="24"/>
          <w:lang w:eastAsia="en-US"/>
        </w:rPr>
        <w:t>26</w:t>
      </w:r>
      <w:r w:rsidR="00B93141">
        <w:rPr>
          <w:rFonts w:eastAsiaTheme="minorHAnsi"/>
          <w:sz w:val="24"/>
          <w:szCs w:val="24"/>
          <w:lang w:eastAsia="en-US"/>
        </w:rPr>
        <w:t xml:space="preserve"> osób powyżej 50 r.ż.</w:t>
      </w:r>
      <w:r w:rsidR="009340D5">
        <w:rPr>
          <w:rFonts w:eastAsiaTheme="minorHAnsi"/>
          <w:sz w:val="24"/>
          <w:szCs w:val="24"/>
          <w:lang w:eastAsia="en-US"/>
        </w:rPr>
        <w:t xml:space="preserve"> </w:t>
      </w:r>
      <w:r w:rsidR="00073476">
        <w:rPr>
          <w:rFonts w:eastAsiaTheme="minorHAnsi"/>
          <w:sz w:val="24"/>
          <w:szCs w:val="24"/>
          <w:lang w:eastAsia="en-US"/>
        </w:rPr>
        <w:t xml:space="preserve">Dotacje na rozpoczęcie działalności gospodarczej otrzymały 3 osoby. </w:t>
      </w:r>
      <w:r w:rsidR="002718C4">
        <w:rPr>
          <w:rFonts w:eastAsiaTheme="minorHAnsi"/>
          <w:sz w:val="24"/>
          <w:szCs w:val="24"/>
          <w:lang w:eastAsia="en-US"/>
        </w:rPr>
        <w:t>Również 3 osoby</w:t>
      </w:r>
      <w:r w:rsidR="00073476">
        <w:rPr>
          <w:rFonts w:eastAsiaTheme="minorHAnsi"/>
          <w:sz w:val="24"/>
          <w:szCs w:val="24"/>
          <w:lang w:eastAsia="en-US"/>
        </w:rPr>
        <w:t xml:space="preserve"> </w:t>
      </w:r>
      <w:r w:rsidR="009340D5">
        <w:rPr>
          <w:rFonts w:eastAsiaTheme="minorHAnsi"/>
          <w:sz w:val="24"/>
          <w:szCs w:val="24"/>
          <w:lang w:eastAsia="en-US"/>
        </w:rPr>
        <w:t xml:space="preserve">skierowano </w:t>
      </w:r>
      <w:r w:rsidR="002718C4">
        <w:rPr>
          <w:rFonts w:eastAsiaTheme="minorHAnsi"/>
          <w:sz w:val="24"/>
          <w:szCs w:val="24"/>
          <w:lang w:eastAsia="en-US"/>
        </w:rPr>
        <w:t xml:space="preserve">na szkolenia, </w:t>
      </w:r>
      <w:r w:rsidR="009340D5">
        <w:rPr>
          <w:rFonts w:eastAsiaTheme="minorHAnsi"/>
          <w:sz w:val="24"/>
          <w:szCs w:val="24"/>
          <w:lang w:eastAsia="en-US"/>
        </w:rPr>
        <w:t xml:space="preserve">do pracy </w:t>
      </w:r>
      <w:r w:rsidR="002718C4">
        <w:rPr>
          <w:rFonts w:eastAsiaTheme="minorHAnsi"/>
          <w:sz w:val="24"/>
          <w:szCs w:val="24"/>
          <w:lang w:eastAsia="en-US"/>
        </w:rPr>
        <w:t xml:space="preserve">zaś             </w:t>
      </w:r>
      <w:r w:rsidR="009340D5">
        <w:rPr>
          <w:rFonts w:eastAsiaTheme="minorHAnsi"/>
          <w:sz w:val="24"/>
          <w:szCs w:val="24"/>
          <w:lang w:eastAsia="en-US"/>
        </w:rPr>
        <w:t>w ramach wyposażenia lub doposażenia stanowiska pracy</w:t>
      </w:r>
      <w:r w:rsidR="00913757">
        <w:rPr>
          <w:rFonts w:eastAsiaTheme="minorHAnsi"/>
          <w:sz w:val="24"/>
          <w:szCs w:val="24"/>
          <w:lang w:eastAsia="en-US"/>
        </w:rPr>
        <w:t xml:space="preserve"> 6 osób</w:t>
      </w:r>
      <w:r w:rsidR="009340D5">
        <w:rPr>
          <w:rFonts w:eastAsiaTheme="minorHAnsi"/>
          <w:sz w:val="24"/>
          <w:szCs w:val="24"/>
          <w:lang w:eastAsia="en-US"/>
        </w:rPr>
        <w:t xml:space="preserve">. </w:t>
      </w:r>
      <w:r w:rsidR="0051484A">
        <w:rPr>
          <w:rFonts w:eastAsiaTheme="minorHAnsi"/>
          <w:sz w:val="24"/>
          <w:szCs w:val="24"/>
          <w:lang w:eastAsia="en-US"/>
        </w:rPr>
        <w:t xml:space="preserve">W robotach publicznych udział wzięło </w:t>
      </w:r>
      <w:r w:rsidR="00913757">
        <w:rPr>
          <w:rFonts w:eastAsiaTheme="minorHAnsi"/>
          <w:sz w:val="24"/>
          <w:szCs w:val="24"/>
          <w:lang w:eastAsia="en-US"/>
        </w:rPr>
        <w:t>6</w:t>
      </w:r>
      <w:r w:rsidR="00937B69">
        <w:rPr>
          <w:rFonts w:eastAsiaTheme="minorHAnsi"/>
          <w:sz w:val="24"/>
          <w:szCs w:val="24"/>
          <w:lang w:eastAsia="en-US"/>
        </w:rPr>
        <w:t xml:space="preserve"> osób pow. 50 r.ż.</w:t>
      </w:r>
    </w:p>
    <w:p w:rsidR="009340D5" w:rsidRPr="009340D5" w:rsidRDefault="00230323" w:rsidP="009340D5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4</w:t>
      </w:r>
    </w:p>
    <w:p w:rsidR="00B93141" w:rsidRDefault="009340D5" w:rsidP="009340D5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Udział osób pow. 50 r.ż. w aktywnych formach pr</w:t>
      </w:r>
      <w:r w:rsidR="00E2150A">
        <w:rPr>
          <w:b/>
          <w:color w:val="000000"/>
          <w:sz w:val="24"/>
          <w:szCs w:val="24"/>
        </w:rPr>
        <w:t>zeciwdziałania bezrobociu w 2019</w:t>
      </w:r>
      <w:r>
        <w:rPr>
          <w:b/>
          <w:color w:val="000000"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268"/>
      </w:tblGrid>
      <w:tr w:rsidR="009340D5" w:rsidTr="009340D5">
        <w:tc>
          <w:tcPr>
            <w:tcW w:w="6374" w:type="dxa"/>
          </w:tcPr>
          <w:p w:rsidR="009340D5" w:rsidRPr="00FC3F47" w:rsidRDefault="009340D5" w:rsidP="009340D5">
            <w:pPr>
              <w:jc w:val="center"/>
              <w:rPr>
                <w:color w:val="000000"/>
                <w:sz w:val="24"/>
                <w:szCs w:val="24"/>
              </w:rPr>
            </w:pPr>
            <w:r w:rsidRPr="00FC3F47">
              <w:rPr>
                <w:color w:val="000000"/>
                <w:sz w:val="24"/>
                <w:szCs w:val="24"/>
              </w:rPr>
              <w:t>Rodzaj wsparcia</w:t>
            </w:r>
          </w:p>
        </w:tc>
        <w:tc>
          <w:tcPr>
            <w:tcW w:w="2268" w:type="dxa"/>
          </w:tcPr>
          <w:p w:rsidR="009340D5" w:rsidRPr="00FC3F47" w:rsidRDefault="009340D5" w:rsidP="009340D5">
            <w:pPr>
              <w:jc w:val="center"/>
              <w:rPr>
                <w:color w:val="000000"/>
                <w:sz w:val="24"/>
                <w:szCs w:val="24"/>
              </w:rPr>
            </w:pPr>
            <w:r w:rsidRPr="00FC3F47">
              <w:rPr>
                <w:color w:val="000000"/>
                <w:sz w:val="24"/>
                <w:szCs w:val="24"/>
              </w:rPr>
              <w:t>Ilość osób</w:t>
            </w:r>
          </w:p>
        </w:tc>
      </w:tr>
      <w:tr w:rsidR="009340D5" w:rsidTr="009340D5">
        <w:tc>
          <w:tcPr>
            <w:tcW w:w="6374" w:type="dxa"/>
          </w:tcPr>
          <w:p w:rsidR="009340D5" w:rsidRDefault="009340D5" w:rsidP="009340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Staże</w:t>
            </w:r>
          </w:p>
        </w:tc>
        <w:tc>
          <w:tcPr>
            <w:tcW w:w="2268" w:type="dxa"/>
          </w:tcPr>
          <w:p w:rsidR="009340D5" w:rsidRPr="00FC3F47" w:rsidRDefault="0093707C" w:rsidP="0093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9340D5" w:rsidTr="009340D5">
        <w:tc>
          <w:tcPr>
            <w:tcW w:w="6374" w:type="dxa"/>
          </w:tcPr>
          <w:p w:rsidR="009340D5" w:rsidRDefault="009340D5" w:rsidP="009340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Szkolenia</w:t>
            </w:r>
          </w:p>
        </w:tc>
        <w:tc>
          <w:tcPr>
            <w:tcW w:w="2268" w:type="dxa"/>
          </w:tcPr>
          <w:p w:rsidR="009340D5" w:rsidRPr="00FC3F47" w:rsidRDefault="00E2150A" w:rsidP="0093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53881" w:rsidTr="009340D5">
        <w:tc>
          <w:tcPr>
            <w:tcW w:w="6374" w:type="dxa"/>
          </w:tcPr>
          <w:p w:rsidR="00A53881" w:rsidRDefault="00A53881" w:rsidP="00FC3F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Dotacje</w:t>
            </w:r>
          </w:p>
        </w:tc>
        <w:tc>
          <w:tcPr>
            <w:tcW w:w="2268" w:type="dxa"/>
          </w:tcPr>
          <w:p w:rsidR="00A53881" w:rsidRDefault="00A53881" w:rsidP="0093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340D5" w:rsidTr="009340D5">
        <w:tc>
          <w:tcPr>
            <w:tcW w:w="6374" w:type="dxa"/>
          </w:tcPr>
          <w:p w:rsidR="009340D5" w:rsidRDefault="00FC3F47" w:rsidP="00FC3F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Refundacja wyposażenia lub doposażenia stanowiska pracy </w:t>
            </w:r>
          </w:p>
        </w:tc>
        <w:tc>
          <w:tcPr>
            <w:tcW w:w="2268" w:type="dxa"/>
          </w:tcPr>
          <w:p w:rsidR="009340D5" w:rsidRPr="00FC3F47" w:rsidRDefault="0093707C" w:rsidP="0093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340D5" w:rsidTr="009340D5">
        <w:tc>
          <w:tcPr>
            <w:tcW w:w="6374" w:type="dxa"/>
          </w:tcPr>
          <w:p w:rsidR="009340D5" w:rsidRDefault="0051484A" w:rsidP="00FC3F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Roboty publiczne</w:t>
            </w:r>
          </w:p>
        </w:tc>
        <w:tc>
          <w:tcPr>
            <w:tcW w:w="2268" w:type="dxa"/>
          </w:tcPr>
          <w:p w:rsidR="009340D5" w:rsidRPr="00FC3F47" w:rsidRDefault="0093707C" w:rsidP="0093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C62B19" w:rsidRPr="00913757" w:rsidRDefault="00C62B19" w:rsidP="0091375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Źródło: Dane własne PUP Pleszew.</w:t>
      </w:r>
    </w:p>
    <w:p w:rsidR="00B93141" w:rsidRPr="00D14D4E" w:rsidRDefault="00913757" w:rsidP="00D14D4E">
      <w:pPr>
        <w:pStyle w:val="Akapitzlist"/>
        <w:numPr>
          <w:ilvl w:val="1"/>
          <w:numId w:val="18"/>
        </w:numPr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lastRenderedPageBreak/>
        <w:t xml:space="preserve"> </w:t>
      </w:r>
      <w:r w:rsidR="00B93141" w:rsidRPr="00D14D4E">
        <w:rPr>
          <w:rFonts w:eastAsiaTheme="minorHAnsi"/>
          <w:b/>
          <w:sz w:val="28"/>
          <w:szCs w:val="30"/>
          <w:lang w:eastAsia="en-US"/>
        </w:rPr>
        <w:t>Wsparcie oraz promocja przedsiębiorczości.</w:t>
      </w:r>
    </w:p>
    <w:p w:rsidR="00B93141" w:rsidRDefault="00B93141" w:rsidP="00B93141">
      <w:pPr>
        <w:pStyle w:val="Tekstpodstawowy"/>
        <w:spacing w:line="360" w:lineRule="auto"/>
        <w:ind w:left="720" w:right="307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B93141" w:rsidRPr="009D7809" w:rsidRDefault="00B93141" w:rsidP="00B93141">
      <w:pPr>
        <w:pStyle w:val="Tekstpodstawowy"/>
        <w:numPr>
          <w:ilvl w:val="0"/>
          <w:numId w:val="7"/>
        </w:numPr>
        <w:spacing w:line="360" w:lineRule="auto"/>
        <w:ind w:right="307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9D7809">
        <w:rPr>
          <w:rFonts w:ascii="Times New Roman" w:hAnsi="Times New Roman" w:cs="Times New Roman"/>
          <w:b/>
          <w:color w:val="auto"/>
          <w:sz w:val="24"/>
        </w:rPr>
        <w:t xml:space="preserve">Refundacje kosztów doposażenia lub wyposażenia stanowisk pracy. </w:t>
      </w:r>
    </w:p>
    <w:p w:rsidR="00B93141" w:rsidRPr="00593361" w:rsidRDefault="00E2150A" w:rsidP="00361BF1">
      <w:pPr>
        <w:pStyle w:val="Tekstpodstawowy"/>
        <w:spacing w:line="360" w:lineRule="auto"/>
        <w:ind w:left="708" w:right="307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 2019</w:t>
      </w:r>
      <w:r w:rsidR="00B93141" w:rsidRPr="009D7809">
        <w:rPr>
          <w:rFonts w:ascii="Times New Roman" w:hAnsi="Times New Roman" w:cs="Times New Roman"/>
          <w:color w:val="auto"/>
          <w:sz w:val="24"/>
        </w:rPr>
        <w:t xml:space="preserve"> r. udzielono pracodawcom za</w:t>
      </w:r>
      <w:r w:rsidR="00914872">
        <w:rPr>
          <w:rFonts w:ascii="Times New Roman" w:hAnsi="Times New Roman" w:cs="Times New Roman"/>
          <w:color w:val="auto"/>
          <w:sz w:val="24"/>
        </w:rPr>
        <w:t xml:space="preserve">trudniającym osoby bezrobotne </w:t>
      </w:r>
      <w:r w:rsidR="005E5B00">
        <w:rPr>
          <w:rFonts w:ascii="Times New Roman" w:hAnsi="Times New Roman" w:cs="Times New Roman"/>
          <w:color w:val="auto"/>
          <w:sz w:val="24"/>
        </w:rPr>
        <w:t>23 refundacje</w:t>
      </w:r>
      <w:r w:rsidR="00B93141" w:rsidRPr="009D7809">
        <w:rPr>
          <w:rFonts w:ascii="Times New Roman" w:hAnsi="Times New Roman" w:cs="Times New Roman"/>
          <w:color w:val="auto"/>
          <w:sz w:val="24"/>
        </w:rPr>
        <w:t xml:space="preserve"> kosztów wyposażenia lub doposażenia stanowisk pracy. Na realizację tej formy wsparcia poza środkami przyznanymi tzw. algorytmem PUP Pleszew pozyskał </w:t>
      </w:r>
      <w:r w:rsidR="009D7809">
        <w:rPr>
          <w:rFonts w:ascii="Times New Roman" w:hAnsi="Times New Roman" w:cs="Times New Roman"/>
          <w:color w:val="auto"/>
          <w:sz w:val="24"/>
        </w:rPr>
        <w:t xml:space="preserve">        </w:t>
      </w:r>
      <w:r w:rsidR="00B93141" w:rsidRPr="009D7809">
        <w:rPr>
          <w:rFonts w:ascii="Times New Roman" w:hAnsi="Times New Roman" w:cs="Times New Roman"/>
          <w:color w:val="auto"/>
          <w:sz w:val="24"/>
        </w:rPr>
        <w:t xml:space="preserve">m. in. środki z programów </w:t>
      </w:r>
      <w:r w:rsidR="009D7809" w:rsidRPr="009D7809">
        <w:rPr>
          <w:rFonts w:ascii="Times New Roman" w:hAnsi="Times New Roman" w:cs="Times New Roman"/>
          <w:color w:val="auto"/>
          <w:sz w:val="24"/>
        </w:rPr>
        <w:t>a</w:t>
      </w:r>
      <w:r w:rsidR="009D7809">
        <w:rPr>
          <w:rFonts w:ascii="Times New Roman" w:hAnsi="Times New Roman" w:cs="Times New Roman"/>
          <w:color w:val="auto"/>
          <w:sz w:val="24"/>
        </w:rPr>
        <w:t>ktywizacji zawodowej</w:t>
      </w:r>
      <w:r w:rsidR="009D7809" w:rsidRPr="009D7809">
        <w:rPr>
          <w:rFonts w:ascii="Times New Roman" w:hAnsi="Times New Roman" w:cs="Times New Roman"/>
          <w:color w:val="auto"/>
          <w:sz w:val="24"/>
        </w:rPr>
        <w:t xml:space="preserve"> </w:t>
      </w:r>
      <w:r w:rsidR="00913757">
        <w:rPr>
          <w:rFonts w:ascii="Times New Roman" w:hAnsi="Times New Roman" w:cs="Times New Roman"/>
          <w:color w:val="auto"/>
          <w:sz w:val="24"/>
        </w:rPr>
        <w:t>Rezerwy Ministra.</w:t>
      </w:r>
    </w:p>
    <w:p w:rsidR="00B93141" w:rsidRPr="00593361" w:rsidRDefault="00B93141" w:rsidP="00B93141">
      <w:pPr>
        <w:pStyle w:val="Tekstpodstawowy"/>
        <w:numPr>
          <w:ilvl w:val="0"/>
          <w:numId w:val="7"/>
        </w:numPr>
        <w:spacing w:line="360" w:lineRule="auto"/>
        <w:ind w:right="307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593361">
        <w:rPr>
          <w:rFonts w:ascii="Times New Roman" w:hAnsi="Times New Roman" w:cs="Times New Roman"/>
          <w:b/>
          <w:color w:val="auto"/>
          <w:sz w:val="24"/>
        </w:rPr>
        <w:t xml:space="preserve">Jednorazowe dotacje na podjęcie działalności gospodarczej. </w:t>
      </w:r>
    </w:p>
    <w:p w:rsidR="00914872" w:rsidRDefault="00E2150A" w:rsidP="00913757">
      <w:pPr>
        <w:pStyle w:val="Tekstpodstawowy"/>
        <w:spacing w:line="360" w:lineRule="auto"/>
        <w:ind w:left="708" w:right="307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 2019</w:t>
      </w:r>
      <w:r w:rsidR="00B93141" w:rsidRPr="00EB77A3">
        <w:rPr>
          <w:rFonts w:ascii="Times New Roman" w:hAnsi="Times New Roman" w:cs="Times New Roman"/>
          <w:color w:val="auto"/>
          <w:sz w:val="24"/>
        </w:rPr>
        <w:t xml:space="preserve"> r. przyznano </w:t>
      </w:r>
      <w:r w:rsidR="005E5B00">
        <w:rPr>
          <w:rFonts w:ascii="Times New Roman" w:hAnsi="Times New Roman" w:cs="Times New Roman"/>
          <w:color w:val="auto"/>
          <w:sz w:val="24"/>
        </w:rPr>
        <w:t>57</w:t>
      </w:r>
      <w:r w:rsidR="00B93141" w:rsidRPr="00EB77A3">
        <w:rPr>
          <w:rFonts w:ascii="Times New Roman" w:hAnsi="Times New Roman" w:cs="Times New Roman"/>
          <w:color w:val="auto"/>
          <w:sz w:val="24"/>
        </w:rPr>
        <w:t xml:space="preserve"> dotacj</w:t>
      </w:r>
      <w:r w:rsidR="00914872">
        <w:rPr>
          <w:rFonts w:ascii="Times New Roman" w:hAnsi="Times New Roman" w:cs="Times New Roman"/>
          <w:color w:val="auto"/>
          <w:sz w:val="24"/>
        </w:rPr>
        <w:t>i</w:t>
      </w:r>
      <w:r w:rsidR="00B93141" w:rsidRPr="00EB77A3">
        <w:rPr>
          <w:rFonts w:ascii="Times New Roman" w:hAnsi="Times New Roman" w:cs="Times New Roman"/>
          <w:color w:val="auto"/>
          <w:sz w:val="24"/>
        </w:rPr>
        <w:t xml:space="preserve"> osobom bezrobotnym. Środki pozyskano </w:t>
      </w:r>
      <w:r w:rsidR="00EB77A3">
        <w:rPr>
          <w:rFonts w:ascii="Times New Roman" w:hAnsi="Times New Roman" w:cs="Times New Roman"/>
          <w:color w:val="auto"/>
          <w:sz w:val="24"/>
        </w:rPr>
        <w:t xml:space="preserve">                           </w:t>
      </w:r>
      <w:r w:rsidR="00EB77A3" w:rsidRPr="00EB77A3">
        <w:rPr>
          <w:rFonts w:ascii="Times New Roman" w:hAnsi="Times New Roman" w:cs="Times New Roman"/>
          <w:color w:val="auto"/>
          <w:sz w:val="24"/>
        </w:rPr>
        <w:t xml:space="preserve">z następujących programów: algorytm, </w:t>
      </w:r>
      <w:r w:rsidR="00913757">
        <w:rPr>
          <w:rFonts w:ascii="Times New Roman" w:hAnsi="Times New Roman" w:cs="Times New Roman"/>
          <w:color w:val="auto"/>
          <w:sz w:val="24"/>
        </w:rPr>
        <w:t xml:space="preserve">Rezerwa Ministra, </w:t>
      </w:r>
      <w:r w:rsidR="00EB77A3" w:rsidRPr="00EB77A3">
        <w:rPr>
          <w:rFonts w:ascii="Times New Roman" w:hAnsi="Times New Roman" w:cs="Times New Roman"/>
          <w:color w:val="auto"/>
          <w:sz w:val="24"/>
        </w:rPr>
        <w:t>P</w:t>
      </w:r>
      <w:r w:rsidR="00914872">
        <w:rPr>
          <w:rFonts w:ascii="Times New Roman" w:hAnsi="Times New Roman" w:cs="Times New Roman"/>
          <w:color w:val="auto"/>
          <w:sz w:val="24"/>
        </w:rPr>
        <w:t xml:space="preserve">rogram </w:t>
      </w:r>
      <w:r w:rsidR="00EB77A3" w:rsidRPr="00EB77A3">
        <w:rPr>
          <w:rFonts w:ascii="Times New Roman" w:hAnsi="Times New Roman" w:cs="Times New Roman"/>
          <w:color w:val="auto"/>
          <w:sz w:val="24"/>
        </w:rPr>
        <w:t>O</w:t>
      </w:r>
      <w:r w:rsidR="00914872">
        <w:rPr>
          <w:rFonts w:ascii="Times New Roman" w:hAnsi="Times New Roman" w:cs="Times New Roman"/>
          <w:color w:val="auto"/>
          <w:sz w:val="24"/>
        </w:rPr>
        <w:t xml:space="preserve">peracyjny </w:t>
      </w:r>
      <w:r w:rsidR="00EB77A3" w:rsidRPr="00EB77A3">
        <w:rPr>
          <w:rFonts w:ascii="Times New Roman" w:hAnsi="Times New Roman" w:cs="Times New Roman"/>
          <w:color w:val="auto"/>
          <w:sz w:val="24"/>
        </w:rPr>
        <w:t>W</w:t>
      </w:r>
      <w:r w:rsidR="00914872">
        <w:rPr>
          <w:rFonts w:ascii="Times New Roman" w:hAnsi="Times New Roman" w:cs="Times New Roman"/>
          <w:color w:val="auto"/>
          <w:sz w:val="24"/>
        </w:rPr>
        <w:t xml:space="preserve">iedza </w:t>
      </w:r>
      <w:r w:rsidR="00EB77A3" w:rsidRPr="00EB77A3">
        <w:rPr>
          <w:rFonts w:ascii="Times New Roman" w:hAnsi="Times New Roman" w:cs="Times New Roman"/>
          <w:color w:val="auto"/>
          <w:sz w:val="24"/>
        </w:rPr>
        <w:t>E</w:t>
      </w:r>
      <w:r w:rsidR="00914872">
        <w:rPr>
          <w:rFonts w:ascii="Times New Roman" w:hAnsi="Times New Roman" w:cs="Times New Roman"/>
          <w:color w:val="auto"/>
          <w:sz w:val="24"/>
        </w:rPr>
        <w:t xml:space="preserve">dukacja </w:t>
      </w:r>
      <w:r w:rsidR="00EB77A3" w:rsidRPr="00EB77A3">
        <w:rPr>
          <w:rFonts w:ascii="Times New Roman" w:hAnsi="Times New Roman" w:cs="Times New Roman"/>
          <w:color w:val="auto"/>
          <w:sz w:val="24"/>
        </w:rPr>
        <w:t>R</w:t>
      </w:r>
      <w:r w:rsidR="00914872">
        <w:rPr>
          <w:rFonts w:ascii="Times New Roman" w:hAnsi="Times New Roman" w:cs="Times New Roman"/>
          <w:color w:val="auto"/>
          <w:sz w:val="24"/>
        </w:rPr>
        <w:t>ozwój</w:t>
      </w:r>
      <w:r w:rsidR="00EB77A3" w:rsidRPr="00EB77A3">
        <w:rPr>
          <w:rFonts w:ascii="Times New Roman" w:hAnsi="Times New Roman" w:cs="Times New Roman"/>
          <w:color w:val="auto"/>
          <w:sz w:val="24"/>
        </w:rPr>
        <w:t>, W</w:t>
      </w:r>
      <w:r w:rsidR="00914872">
        <w:rPr>
          <w:rFonts w:ascii="Times New Roman" w:hAnsi="Times New Roman" w:cs="Times New Roman"/>
          <w:color w:val="auto"/>
          <w:sz w:val="24"/>
        </w:rPr>
        <w:t xml:space="preserve">ielkopolski </w:t>
      </w:r>
      <w:r w:rsidR="00EB77A3" w:rsidRPr="00EB77A3">
        <w:rPr>
          <w:rFonts w:ascii="Times New Roman" w:hAnsi="Times New Roman" w:cs="Times New Roman"/>
          <w:color w:val="auto"/>
          <w:sz w:val="24"/>
        </w:rPr>
        <w:t>R</w:t>
      </w:r>
      <w:r w:rsidR="00914872">
        <w:rPr>
          <w:rFonts w:ascii="Times New Roman" w:hAnsi="Times New Roman" w:cs="Times New Roman"/>
          <w:color w:val="auto"/>
          <w:sz w:val="24"/>
        </w:rPr>
        <w:t xml:space="preserve">egionalny </w:t>
      </w:r>
      <w:r w:rsidR="00EB77A3" w:rsidRPr="00EB77A3">
        <w:rPr>
          <w:rFonts w:ascii="Times New Roman" w:hAnsi="Times New Roman" w:cs="Times New Roman"/>
          <w:color w:val="auto"/>
          <w:sz w:val="24"/>
        </w:rPr>
        <w:t>P</w:t>
      </w:r>
      <w:r w:rsidR="00914872">
        <w:rPr>
          <w:rFonts w:ascii="Times New Roman" w:hAnsi="Times New Roman" w:cs="Times New Roman"/>
          <w:color w:val="auto"/>
          <w:sz w:val="24"/>
        </w:rPr>
        <w:t xml:space="preserve">rogram </w:t>
      </w:r>
      <w:r w:rsidR="00EB77A3" w:rsidRPr="00EB77A3">
        <w:rPr>
          <w:rFonts w:ascii="Times New Roman" w:hAnsi="Times New Roman" w:cs="Times New Roman"/>
          <w:color w:val="auto"/>
          <w:sz w:val="24"/>
        </w:rPr>
        <w:t>O</w:t>
      </w:r>
      <w:r w:rsidR="00914872">
        <w:rPr>
          <w:rFonts w:ascii="Times New Roman" w:hAnsi="Times New Roman" w:cs="Times New Roman"/>
          <w:color w:val="auto"/>
          <w:sz w:val="24"/>
        </w:rPr>
        <w:t>peracyjny</w:t>
      </w:r>
      <w:r w:rsidR="00EB77A3" w:rsidRPr="00EB77A3">
        <w:rPr>
          <w:rFonts w:ascii="Times New Roman" w:hAnsi="Times New Roman" w:cs="Times New Roman"/>
          <w:color w:val="auto"/>
          <w:sz w:val="24"/>
        </w:rPr>
        <w:t>.</w:t>
      </w:r>
    </w:p>
    <w:p w:rsidR="00914872" w:rsidRPr="00593361" w:rsidRDefault="008A67ED" w:rsidP="00914872">
      <w:pPr>
        <w:pStyle w:val="Tekstpodstawowy"/>
        <w:spacing w:line="360" w:lineRule="auto"/>
        <w:ind w:left="720" w:right="307"/>
        <w:jc w:val="both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Staże</w:t>
      </w:r>
      <w:r w:rsidR="00914872" w:rsidRPr="00593361">
        <w:rPr>
          <w:rFonts w:ascii="Times New Roman" w:hAnsi="Times New Roman" w:cs="Times New Roman"/>
          <w:b/>
          <w:color w:val="auto"/>
          <w:sz w:val="24"/>
        </w:rPr>
        <w:t>.</w:t>
      </w:r>
    </w:p>
    <w:p w:rsidR="00914872" w:rsidRPr="00EB77A3" w:rsidRDefault="00E2150A" w:rsidP="00913757">
      <w:pPr>
        <w:pStyle w:val="Tekstpodstawowy"/>
        <w:spacing w:line="360" w:lineRule="auto"/>
        <w:ind w:left="708" w:right="307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 2019</w:t>
      </w:r>
      <w:r w:rsidR="00914872" w:rsidRPr="00EB77A3">
        <w:rPr>
          <w:rFonts w:ascii="Times New Roman" w:hAnsi="Times New Roman" w:cs="Times New Roman"/>
          <w:color w:val="auto"/>
          <w:sz w:val="24"/>
        </w:rPr>
        <w:t xml:space="preserve"> r.</w:t>
      </w:r>
      <w:r w:rsidR="00914872">
        <w:rPr>
          <w:rFonts w:ascii="Times New Roman" w:hAnsi="Times New Roman" w:cs="Times New Roman"/>
          <w:color w:val="auto"/>
          <w:sz w:val="24"/>
        </w:rPr>
        <w:t xml:space="preserve"> na staż skierowano </w:t>
      </w:r>
      <w:r w:rsidR="005E5B00">
        <w:rPr>
          <w:rFonts w:ascii="Times New Roman" w:hAnsi="Times New Roman" w:cs="Times New Roman"/>
          <w:color w:val="auto"/>
          <w:sz w:val="24"/>
        </w:rPr>
        <w:t>185</w:t>
      </w:r>
      <w:r w:rsidR="00914872">
        <w:rPr>
          <w:rFonts w:ascii="Times New Roman" w:hAnsi="Times New Roman" w:cs="Times New Roman"/>
          <w:color w:val="auto"/>
          <w:sz w:val="24"/>
        </w:rPr>
        <w:t xml:space="preserve"> osób</w:t>
      </w:r>
      <w:r w:rsidR="008A67ED">
        <w:rPr>
          <w:rFonts w:ascii="Times New Roman" w:hAnsi="Times New Roman" w:cs="Times New Roman"/>
          <w:color w:val="auto"/>
          <w:sz w:val="24"/>
        </w:rPr>
        <w:t>.</w:t>
      </w:r>
    </w:p>
    <w:p w:rsidR="00B93141" w:rsidRPr="00593361" w:rsidRDefault="00B93141" w:rsidP="00EB77A3">
      <w:pPr>
        <w:pStyle w:val="Tekstpodstawowy"/>
        <w:spacing w:line="360" w:lineRule="auto"/>
        <w:ind w:left="720" w:right="307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593361">
        <w:rPr>
          <w:rFonts w:ascii="Times New Roman" w:hAnsi="Times New Roman" w:cs="Times New Roman"/>
          <w:b/>
          <w:color w:val="auto"/>
          <w:sz w:val="24"/>
        </w:rPr>
        <w:t>Roboty publiczne.</w:t>
      </w:r>
    </w:p>
    <w:p w:rsidR="00EB77A3" w:rsidRPr="00EB77A3" w:rsidRDefault="00E2150A" w:rsidP="00EB77A3">
      <w:pPr>
        <w:pStyle w:val="Tekstpodstawowy"/>
        <w:spacing w:line="360" w:lineRule="auto"/>
        <w:ind w:left="708" w:right="307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 2019</w:t>
      </w:r>
      <w:r w:rsidR="00B93141" w:rsidRPr="00EB77A3">
        <w:rPr>
          <w:rFonts w:ascii="Times New Roman" w:hAnsi="Times New Roman" w:cs="Times New Roman"/>
          <w:color w:val="auto"/>
          <w:sz w:val="24"/>
        </w:rPr>
        <w:t xml:space="preserve"> r. na roboty publiczne skierowano </w:t>
      </w:r>
      <w:r w:rsidR="005E5B00">
        <w:rPr>
          <w:rFonts w:ascii="Times New Roman" w:hAnsi="Times New Roman" w:cs="Times New Roman"/>
          <w:color w:val="auto"/>
          <w:sz w:val="24"/>
        </w:rPr>
        <w:t>16 osób.</w:t>
      </w:r>
    </w:p>
    <w:p w:rsidR="00346261" w:rsidRDefault="00346261" w:rsidP="00DB700E">
      <w:pPr>
        <w:pStyle w:val="Tekstpodstawowy"/>
        <w:spacing w:line="360" w:lineRule="auto"/>
        <w:ind w:right="307"/>
        <w:jc w:val="both"/>
        <w:rPr>
          <w:rFonts w:ascii="Times New Roman" w:hAnsi="Times New Roman" w:cs="Times New Roman"/>
          <w:color w:val="auto"/>
          <w:sz w:val="24"/>
        </w:rPr>
      </w:pPr>
    </w:p>
    <w:p w:rsidR="00B93141" w:rsidRPr="00E81DA0" w:rsidRDefault="00B93141" w:rsidP="00B93141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E81DA0">
        <w:rPr>
          <w:b/>
          <w:sz w:val="24"/>
          <w:szCs w:val="24"/>
        </w:rPr>
        <w:t>Krajowy Fundusz Szkoleniowy</w:t>
      </w:r>
      <w:r w:rsidR="00E2150A">
        <w:rPr>
          <w:b/>
          <w:sz w:val="24"/>
          <w:szCs w:val="24"/>
        </w:rPr>
        <w:t xml:space="preserve"> w 2019</w:t>
      </w:r>
      <w:r>
        <w:rPr>
          <w:b/>
          <w:sz w:val="24"/>
          <w:szCs w:val="24"/>
        </w:rPr>
        <w:t xml:space="preserve"> r</w:t>
      </w:r>
      <w:r w:rsidRPr="00E81DA0">
        <w:rPr>
          <w:b/>
          <w:sz w:val="24"/>
          <w:szCs w:val="24"/>
        </w:rPr>
        <w:t>.</w:t>
      </w:r>
    </w:p>
    <w:p w:rsidR="00EB77A3" w:rsidRDefault="00EB77A3" w:rsidP="00EB77A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utworzenia KFS jest zapobieganie utracie zatrudnienia przez osoby pracujące z powodu kompetencji nieadekwatnych do wymagań dynamicznie zmieniającej się gospodarki. </w:t>
      </w:r>
    </w:p>
    <w:p w:rsidR="00EB77A3" w:rsidRDefault="00EB77A3" w:rsidP="00EB77A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Podstawowym przeznaczeniem środków KFS jest dofinansowanie – na wniosek pracodawcy – kształcenia ustawicznego pracowników zatrudnionych w firmie, ale także dofinansowanie kształcenia ustawicznego samego pracodawcy. O dofinansowanie kosztów kształcenia ustawicznego mogą ubiegać wszyscy pracodawcy, w rozumieniu art. 2 ust. 1 pkt. 25 </w:t>
      </w:r>
      <w:r>
        <w:rPr>
          <w:i/>
          <w:sz w:val="24"/>
          <w:szCs w:val="24"/>
        </w:rPr>
        <w:t>Ustawy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 promocji zatrudnienia i instytucjach rynku pracy</w:t>
      </w:r>
      <w:r w:rsidR="00A53881">
        <w:rPr>
          <w:sz w:val="24"/>
          <w:szCs w:val="24"/>
        </w:rPr>
        <w:t xml:space="preserve"> (te</w:t>
      </w:r>
      <w:r w:rsidR="00913757">
        <w:rPr>
          <w:sz w:val="24"/>
          <w:szCs w:val="24"/>
        </w:rPr>
        <w:t>kst jedn. Dz. U. z 2019 r., poz. 1482</w:t>
      </w:r>
      <w:r>
        <w:rPr>
          <w:sz w:val="24"/>
          <w:szCs w:val="24"/>
        </w:rPr>
        <w:t xml:space="preserve"> z późn. zm.), tj. jednostki organizacyjne, chociażby nie posiadały osobowości prawnej, a także osoby fizyczne, jeżeli zatrudniają co najmniej jednego pracownika na umowę o pracę. </w:t>
      </w:r>
    </w:p>
    <w:p w:rsidR="00EB77A3" w:rsidRDefault="00EB77A3" w:rsidP="00EB77A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Środki KFS mogą zostać przeznaczone na następujące działania:</w:t>
      </w:r>
    </w:p>
    <w:p w:rsidR="00EB77A3" w:rsidRDefault="00EB77A3" w:rsidP="00EB77A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określenie potrzeb pracodawcy w zakresie kształcenia ustawicznego w związku z ubieganiem się o sfinansowanie tego kształcenia ze środków KFS, </w:t>
      </w:r>
    </w:p>
    <w:p w:rsidR="00EB77A3" w:rsidRDefault="00EB77A3" w:rsidP="00EB77A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kursy i studia podyplomowe realizowane z inicjatywy pracodawcy lub za jego zgodą,</w:t>
      </w:r>
    </w:p>
    <w:p w:rsidR="00EB77A3" w:rsidRDefault="00EB77A3" w:rsidP="00EB77A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egzaminy umożliwiające uzyskanie dokumentów potwierdzających nabycie umiejętności, kwalifikacji lub uprawnień zawodowych, </w:t>
      </w:r>
    </w:p>
    <w:p w:rsidR="00EB77A3" w:rsidRDefault="00EB77A3" w:rsidP="00EB77A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badania lekarskie i psychologiczne wymagane do podjęcia kształcenia lub pracy zawodowej po ukończonym kształceniu, </w:t>
      </w:r>
    </w:p>
    <w:p w:rsidR="00EB77A3" w:rsidRDefault="00EB77A3" w:rsidP="00EB77A3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- ubezpieczenie od następstw nieszczęśliwych wypadków w związku z podjętym kształceniem. </w:t>
      </w:r>
    </w:p>
    <w:p w:rsidR="00EB77A3" w:rsidRDefault="00EB77A3" w:rsidP="00EB77A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może przyznać środki z KFS na sfinansowanie ww. kosztów w wysokości 80%, a w przypadku mikroprzedsiębiorstw w wysokości 100%, nie więcej jednak niż 300% przeciętnego wynagrodzenia w danym roku na jednego uczestnika</w:t>
      </w:r>
      <w:r w:rsidR="001430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B77A3" w:rsidRDefault="00EB77A3" w:rsidP="00EB77A3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Środki z KFS przyznane pracodawcy na sfinansowanie kosztów kształcenia ustawicznego stanowią pomoc udzielaną zgodnie z warunkami </w:t>
      </w:r>
      <w:r w:rsidRPr="001430AB">
        <w:rPr>
          <w:sz w:val="24"/>
          <w:szCs w:val="24"/>
        </w:rPr>
        <w:t xml:space="preserve">dopuszczalności pomocy </w:t>
      </w:r>
      <w:r w:rsidR="00A53881" w:rsidRPr="001430AB">
        <w:rPr>
          <w:sz w:val="24"/>
          <w:szCs w:val="24"/>
        </w:rPr>
        <w:t>de minimis.</w:t>
      </w:r>
    </w:p>
    <w:p w:rsidR="00A53881" w:rsidRPr="005B25A0" w:rsidRDefault="00A53881" w:rsidP="00A5388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Środki te zostały wydatkowane w ramach następujących priorytetów</w:t>
      </w:r>
      <w:r w:rsidR="0093707C">
        <w:rPr>
          <w:b/>
          <w:sz w:val="24"/>
          <w:szCs w:val="24"/>
        </w:rPr>
        <w:t xml:space="preserve"> Ministra</w:t>
      </w:r>
      <w:r>
        <w:rPr>
          <w:b/>
          <w:sz w:val="24"/>
          <w:szCs w:val="24"/>
        </w:rPr>
        <w:t>:</w:t>
      </w:r>
    </w:p>
    <w:p w:rsidR="0093707C" w:rsidRPr="0093707C" w:rsidRDefault="0093707C" w:rsidP="0093707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93707C">
        <w:rPr>
          <w:rFonts w:eastAsia="Times New Roman"/>
          <w:sz w:val="24"/>
          <w:szCs w:val="24"/>
          <w:lang w:eastAsia="ar-SA"/>
        </w:rPr>
        <w:t>wsparcie kształcenia ustawicznego w zidentyfikowanych w danym powiecie</w:t>
      </w:r>
      <w:r w:rsidR="00246FBD">
        <w:rPr>
          <w:rFonts w:eastAsia="Times New Roman"/>
          <w:sz w:val="24"/>
          <w:szCs w:val="24"/>
          <w:lang w:eastAsia="ar-SA"/>
        </w:rPr>
        <w:t xml:space="preserve">                  </w:t>
      </w:r>
      <w:r w:rsidRPr="0093707C">
        <w:rPr>
          <w:rFonts w:eastAsia="Times New Roman"/>
          <w:sz w:val="24"/>
          <w:szCs w:val="24"/>
          <w:lang w:eastAsia="ar-SA"/>
        </w:rPr>
        <w:t xml:space="preserve"> lub województwie zawodach deficytowych,</w:t>
      </w:r>
    </w:p>
    <w:p w:rsidR="0093707C" w:rsidRPr="0093707C" w:rsidRDefault="0093707C" w:rsidP="0093707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93707C">
        <w:rPr>
          <w:rFonts w:eastAsia="Times New Roman"/>
          <w:sz w:val="24"/>
          <w:szCs w:val="24"/>
          <w:lang w:eastAsia="ar-SA"/>
        </w:rPr>
        <w:t>wsparcie kształcenia ustawicznego osób, które nie posiadają świadectwa dojrzałości,</w:t>
      </w:r>
    </w:p>
    <w:p w:rsidR="0093707C" w:rsidRPr="0093707C" w:rsidRDefault="0093707C" w:rsidP="0093707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93707C">
        <w:rPr>
          <w:rFonts w:eastAsia="Times New Roman"/>
          <w:sz w:val="24"/>
          <w:szCs w:val="24"/>
          <w:lang w:eastAsia="ar-SA"/>
        </w:rPr>
        <w:t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 1 ustawy o spółdzielniach socjalnych lub pracowników Zakładów Aktywności Zawodowej,</w:t>
      </w:r>
    </w:p>
    <w:p w:rsidR="0093707C" w:rsidRPr="0093707C" w:rsidRDefault="0093707C" w:rsidP="0093707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93707C">
        <w:rPr>
          <w:rFonts w:eastAsia="Times New Roman"/>
          <w:sz w:val="24"/>
          <w:szCs w:val="24"/>
          <w:lang w:eastAsia="ar-SA"/>
        </w:rPr>
        <w:t>wsparcie kształcenia ustawicznego osób, które mogą udokumentować wykonywanie przez co najmniej 15 lat prac w szczególnych warunkach lub o szczególnym charakterze, a którym nie przysługuje prawo do emerytury pomostowej,</w:t>
      </w:r>
    </w:p>
    <w:p w:rsidR="0093707C" w:rsidRPr="0093707C" w:rsidRDefault="0093707C" w:rsidP="0093707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93707C">
        <w:rPr>
          <w:rFonts w:eastAsia="Times New Roman"/>
          <w:sz w:val="24"/>
          <w:szCs w:val="24"/>
          <w:lang w:eastAsia="ar-SA"/>
        </w:rPr>
        <w:t>wsparcie kształcenia ustawicznego instruktorów praktycznej nauki zawodu, nauczycieli kształcenia zawodowego oraz pozostałych nauczycieli, o ile podjęcie kształcenia ustawicznego umożliwi im pozostanie w zatrudnieniu,</w:t>
      </w:r>
    </w:p>
    <w:p w:rsidR="0093707C" w:rsidRDefault="0093707C" w:rsidP="0093707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93707C">
        <w:rPr>
          <w:rFonts w:eastAsia="Times New Roman"/>
          <w:sz w:val="24"/>
          <w:szCs w:val="24"/>
          <w:lang w:eastAsia="ar-SA"/>
        </w:rPr>
        <w:t>wsparcie kształcenia ustawicznego osób po 45 roku życia.</w:t>
      </w:r>
    </w:p>
    <w:p w:rsidR="0093707C" w:rsidRDefault="0093707C" w:rsidP="0093707C">
      <w:pPr>
        <w:spacing w:line="360" w:lineRule="auto"/>
        <w:ind w:left="36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Realizowano również wsparcie KFS w ramach Rezerwy z następujących priorytetów:</w:t>
      </w:r>
    </w:p>
    <w:p w:rsidR="0093707C" w:rsidRPr="0093707C" w:rsidRDefault="0093707C" w:rsidP="0093707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93707C">
        <w:rPr>
          <w:rFonts w:eastAsia="Times New Roman"/>
          <w:sz w:val="24"/>
          <w:szCs w:val="24"/>
          <w:lang w:eastAsia="ar-SA"/>
        </w:rPr>
        <w:t>wsparcie kształcenia ustawicznego pracowników Centrów Integracji Społecznej, Klubów Integracji Społecznej, Warsztatów Terapii Zajęciowej,</w:t>
      </w:r>
    </w:p>
    <w:p w:rsidR="0093707C" w:rsidRPr="0093707C" w:rsidRDefault="0093707C" w:rsidP="0093707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93707C">
        <w:rPr>
          <w:rFonts w:eastAsia="Times New Roman"/>
          <w:sz w:val="24"/>
          <w:szCs w:val="24"/>
          <w:lang w:eastAsia="ar-SA"/>
        </w:rPr>
        <w:t>wsparcie kształcenia ustawicznego osób z orzeczonym stopniem niepełnosprawności,</w:t>
      </w:r>
    </w:p>
    <w:p w:rsidR="0093707C" w:rsidRDefault="0093707C" w:rsidP="0093707C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93707C">
        <w:rPr>
          <w:rFonts w:eastAsia="Times New Roman"/>
          <w:sz w:val="24"/>
          <w:szCs w:val="24"/>
          <w:lang w:eastAsia="ar-SA"/>
        </w:rPr>
        <w:t>wsparcie kształcenia ustawicznego w związku z zastosowaniem w firmach nowych technologii i narzędzi pracy.</w:t>
      </w:r>
    </w:p>
    <w:p w:rsidR="00913757" w:rsidRPr="00913757" w:rsidRDefault="00913757" w:rsidP="00913757">
      <w:pPr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53881" w:rsidRDefault="00E2150A" w:rsidP="00913757">
      <w:pPr>
        <w:spacing w:line="360" w:lineRule="auto"/>
        <w:jc w:val="both"/>
        <w:rPr>
          <w:b/>
          <w:sz w:val="24"/>
          <w:szCs w:val="24"/>
        </w:rPr>
      </w:pPr>
      <w:r w:rsidRPr="00913757">
        <w:rPr>
          <w:sz w:val="24"/>
          <w:szCs w:val="24"/>
        </w:rPr>
        <w:lastRenderedPageBreak/>
        <w:t>W 2019</w:t>
      </w:r>
      <w:r w:rsidR="00A53881" w:rsidRPr="00913757">
        <w:rPr>
          <w:sz w:val="24"/>
          <w:szCs w:val="24"/>
        </w:rPr>
        <w:t xml:space="preserve"> r. w ramach Krajowego Funduszu Szkoleniowego Powiatowy Urząd Pracy w Pleszewie pozyskał  </w:t>
      </w:r>
      <w:r w:rsidRPr="00913757">
        <w:rPr>
          <w:b/>
          <w:sz w:val="24"/>
          <w:szCs w:val="24"/>
        </w:rPr>
        <w:t>927,7</w:t>
      </w:r>
      <w:r w:rsidR="00A53881" w:rsidRPr="00913757">
        <w:rPr>
          <w:b/>
          <w:sz w:val="24"/>
          <w:szCs w:val="24"/>
        </w:rPr>
        <w:t xml:space="preserve"> tys. zł</w:t>
      </w:r>
      <w:r w:rsidRPr="00913757">
        <w:rPr>
          <w:b/>
          <w:sz w:val="24"/>
          <w:szCs w:val="24"/>
        </w:rPr>
        <w:t>.</w:t>
      </w:r>
      <w:r w:rsidR="00913757">
        <w:rPr>
          <w:b/>
          <w:sz w:val="24"/>
          <w:szCs w:val="24"/>
        </w:rPr>
        <w:t xml:space="preserve"> </w:t>
      </w:r>
      <w:r w:rsidR="00355FD6">
        <w:rPr>
          <w:b/>
          <w:sz w:val="24"/>
          <w:szCs w:val="24"/>
        </w:rPr>
        <w:t xml:space="preserve">W ramach tych środków </w:t>
      </w:r>
      <w:r>
        <w:rPr>
          <w:b/>
          <w:sz w:val="24"/>
          <w:szCs w:val="24"/>
        </w:rPr>
        <w:t>łącznie na kształcenie ustawiczne skierowano 476 pracowników i pracodawców.</w:t>
      </w:r>
    </w:p>
    <w:p w:rsidR="0093707C" w:rsidRDefault="0093707C" w:rsidP="00A53881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93707C" w:rsidRDefault="00230323" w:rsidP="0093707C">
      <w:pPr>
        <w:jc w:val="right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Wykres 4</w:t>
      </w:r>
    </w:p>
    <w:p w:rsidR="0093707C" w:rsidRPr="0093707C" w:rsidRDefault="0093707C" w:rsidP="0093707C">
      <w:pPr>
        <w:jc w:val="center"/>
        <w:rPr>
          <w:rFonts w:eastAsiaTheme="minorHAnsi"/>
          <w:b/>
          <w:sz w:val="28"/>
          <w:szCs w:val="30"/>
          <w:lang w:eastAsia="en-US"/>
        </w:rPr>
      </w:pPr>
      <w:r>
        <w:rPr>
          <w:rFonts w:eastAsiaTheme="minorHAnsi"/>
          <w:b/>
          <w:sz w:val="28"/>
          <w:szCs w:val="30"/>
          <w:lang w:eastAsia="en-US"/>
        </w:rPr>
        <w:t>Krajowy Fundusz Szkoleniowy w latach 2016-2019</w:t>
      </w:r>
    </w:p>
    <w:p w:rsidR="0093707C" w:rsidRDefault="0093707C" w:rsidP="00A53881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7DF4E23" wp14:editId="094C7C02">
            <wp:extent cx="5314950" cy="27432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6261" w:rsidRDefault="0093707C" w:rsidP="00361BF1">
      <w:pPr>
        <w:spacing w:line="360" w:lineRule="auto"/>
        <w:jc w:val="both"/>
      </w:pPr>
      <w:r>
        <w:rPr>
          <w:b/>
          <w:sz w:val="24"/>
          <w:szCs w:val="24"/>
        </w:rPr>
        <w:tab/>
      </w:r>
      <w:r w:rsidRPr="0093707C">
        <w:t xml:space="preserve">Źródło: </w:t>
      </w:r>
      <w:r>
        <w:t>Dane</w:t>
      </w:r>
      <w:r w:rsidRPr="0093707C">
        <w:t xml:space="preserve"> własne PUP Pleszew.</w:t>
      </w:r>
    </w:p>
    <w:p w:rsidR="00913757" w:rsidRPr="0093707C" w:rsidRDefault="00913757" w:rsidP="00361BF1">
      <w:pPr>
        <w:spacing w:line="360" w:lineRule="auto"/>
        <w:jc w:val="both"/>
      </w:pPr>
    </w:p>
    <w:p w:rsidR="00B93141" w:rsidRPr="00D14D4E" w:rsidRDefault="00B93141" w:rsidP="00D14D4E">
      <w:pPr>
        <w:pStyle w:val="Akapitzlist"/>
        <w:numPr>
          <w:ilvl w:val="1"/>
          <w:numId w:val="18"/>
        </w:numPr>
        <w:jc w:val="both"/>
        <w:rPr>
          <w:rFonts w:eastAsiaTheme="minorHAnsi"/>
          <w:b/>
          <w:sz w:val="28"/>
          <w:szCs w:val="30"/>
          <w:lang w:eastAsia="en-US"/>
        </w:rPr>
      </w:pPr>
      <w:r w:rsidRPr="00D14D4E">
        <w:rPr>
          <w:rFonts w:eastAsiaTheme="minorHAnsi"/>
          <w:b/>
          <w:sz w:val="28"/>
          <w:szCs w:val="30"/>
          <w:lang w:eastAsia="en-US"/>
        </w:rPr>
        <w:t>Współpraca i partnerstwo w sferze polityki zatrudnienia rynku pracy.</w:t>
      </w:r>
    </w:p>
    <w:p w:rsidR="00412E51" w:rsidRPr="00412E51" w:rsidRDefault="00412E51" w:rsidP="00412E51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480" w:lineRule="auto"/>
        <w:jc w:val="both"/>
        <w:rPr>
          <w:rFonts w:eastAsia="Times New Roman"/>
          <w:color w:val="2D2D2D"/>
          <w:sz w:val="24"/>
          <w:szCs w:val="24"/>
        </w:rPr>
      </w:pPr>
      <w:r w:rsidRPr="00412E51">
        <w:rPr>
          <w:rFonts w:eastAsia="Times New Roman"/>
          <w:color w:val="2D2D2D"/>
          <w:sz w:val="24"/>
          <w:szCs w:val="24"/>
        </w:rPr>
        <w:t>Jednostki, z którymi Urząd nawiązał współpracę:</w:t>
      </w:r>
    </w:p>
    <w:p w:rsidR="00412E51" w:rsidRPr="007F3B7A" w:rsidRDefault="00412E51" w:rsidP="00913757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rFonts w:eastAsia="Times New Roman"/>
          <w:color w:val="2D2D2D"/>
          <w:sz w:val="24"/>
          <w:szCs w:val="24"/>
        </w:rPr>
      </w:pPr>
      <w:r w:rsidRPr="007F3B7A">
        <w:rPr>
          <w:rFonts w:eastAsia="Times New Roman"/>
          <w:color w:val="2D2D2D"/>
          <w:sz w:val="24"/>
          <w:szCs w:val="24"/>
        </w:rPr>
        <w:t>Eurocentrum Innowacji i Przedsiębiorczości z siedzibą w Ostrowie Wlkp.</w:t>
      </w:r>
    </w:p>
    <w:p w:rsidR="007F3B7A" w:rsidRPr="00412E51" w:rsidRDefault="00412E51" w:rsidP="00913757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7F3B7A">
        <w:rPr>
          <w:rFonts w:eastAsiaTheme="minorHAnsi"/>
          <w:sz w:val="24"/>
          <w:szCs w:val="24"/>
          <w:lang w:eastAsia="en-US"/>
        </w:rPr>
        <w:t>Pleszewska I</w:t>
      </w:r>
      <w:r w:rsidR="00913757">
        <w:rPr>
          <w:rFonts w:eastAsiaTheme="minorHAnsi"/>
          <w:sz w:val="24"/>
          <w:szCs w:val="24"/>
          <w:lang w:eastAsia="en-US"/>
        </w:rPr>
        <w:t>zba Gospodarcza.</w:t>
      </w:r>
    </w:p>
    <w:p w:rsidR="007F3B7A" w:rsidRPr="00913757" w:rsidRDefault="00412E51" w:rsidP="00913757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rFonts w:eastAsia="Times New Roman"/>
          <w:color w:val="2D2D2D"/>
          <w:sz w:val="24"/>
          <w:szCs w:val="24"/>
        </w:rPr>
      </w:pPr>
      <w:r w:rsidRPr="007F3B7A">
        <w:rPr>
          <w:rFonts w:eastAsia="Times New Roman"/>
          <w:color w:val="2D2D2D"/>
          <w:sz w:val="24"/>
          <w:szCs w:val="24"/>
        </w:rPr>
        <w:t>Fundusz Pożyczkowy ECDF Poznań – Pierwszy Biznes – Wsparcie w Starcie II</w:t>
      </w:r>
      <w:r w:rsidR="00913757">
        <w:rPr>
          <w:rFonts w:eastAsia="Times New Roman"/>
          <w:color w:val="2D2D2D"/>
          <w:sz w:val="24"/>
          <w:szCs w:val="24"/>
        </w:rPr>
        <w:t>.</w:t>
      </w:r>
    </w:p>
    <w:p w:rsidR="007F3B7A" w:rsidRDefault="00CE1A3F" w:rsidP="00913757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Fundacja Tax Care </w:t>
      </w:r>
      <w:r w:rsidR="00412E51" w:rsidRPr="007F3B7A">
        <w:rPr>
          <w:rFonts w:eastAsiaTheme="minorHAnsi"/>
          <w:sz w:val="24"/>
          <w:szCs w:val="24"/>
          <w:lang w:eastAsia="en-US"/>
        </w:rPr>
        <w:t xml:space="preserve">Inicjatywa Wspierania </w:t>
      </w:r>
      <w:r>
        <w:rPr>
          <w:rFonts w:eastAsiaTheme="minorHAnsi"/>
          <w:sz w:val="24"/>
          <w:szCs w:val="24"/>
          <w:lang w:eastAsia="en-US"/>
        </w:rPr>
        <w:t>Przedsiębiorczości</w:t>
      </w:r>
      <w:r w:rsidR="00913757">
        <w:rPr>
          <w:rFonts w:eastAsiaTheme="minorHAnsi"/>
          <w:b/>
          <w:sz w:val="24"/>
          <w:szCs w:val="24"/>
          <w:lang w:eastAsia="en-US"/>
        </w:rPr>
        <w:t>.</w:t>
      </w:r>
    </w:p>
    <w:p w:rsidR="00412E51" w:rsidRPr="00913757" w:rsidRDefault="00412E51" w:rsidP="00913757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7F3B7A">
        <w:rPr>
          <w:rFonts w:eastAsiaTheme="minorHAnsi"/>
          <w:sz w:val="24"/>
          <w:szCs w:val="24"/>
          <w:lang w:eastAsia="en-US"/>
        </w:rPr>
        <w:t>Regionalna Izba Gospodarcza w Kaliszu</w:t>
      </w:r>
      <w:r w:rsidRPr="007F3B7A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7F3B7A">
        <w:rPr>
          <w:rFonts w:eastAsiaTheme="minorHAnsi"/>
          <w:sz w:val="24"/>
          <w:szCs w:val="24"/>
          <w:lang w:eastAsia="en-US"/>
        </w:rPr>
        <w:t>–Regionalna Izba Gospodarcza w Kaliszu</w:t>
      </w:r>
      <w:r w:rsidR="00913757">
        <w:rPr>
          <w:rFonts w:eastAsiaTheme="minorHAnsi"/>
          <w:sz w:val="24"/>
          <w:szCs w:val="24"/>
          <w:lang w:eastAsia="en-US"/>
        </w:rPr>
        <w:t>.</w:t>
      </w:r>
    </w:p>
    <w:p w:rsidR="00412E51" w:rsidRPr="007F3B7A" w:rsidRDefault="00412E51" w:rsidP="00913757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 w:rsidRPr="007F3B7A">
        <w:rPr>
          <w:rFonts w:eastAsiaTheme="minorHAnsi"/>
          <w:sz w:val="24"/>
          <w:szCs w:val="24"/>
          <w:lang w:eastAsia="en-US"/>
        </w:rPr>
        <w:t>Ostrowski Park Przemysłowy</w:t>
      </w:r>
      <w:r w:rsidR="00913757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</w:p>
    <w:p w:rsidR="00412E51" w:rsidRPr="007F3B7A" w:rsidRDefault="00913757" w:rsidP="00913757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714" w:hanging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Wielkopolska Agencja</w:t>
      </w:r>
      <w:r w:rsidR="00412E51" w:rsidRPr="007F3B7A">
        <w:rPr>
          <w:rFonts w:eastAsiaTheme="minorHAnsi"/>
          <w:sz w:val="24"/>
          <w:szCs w:val="24"/>
          <w:lang w:eastAsia="en-US"/>
        </w:rPr>
        <w:t xml:space="preserve"> Rozwoju Przedsiębiorczości Sp. z.o.o w Poznaniu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37B69" w:rsidRDefault="00412E51" w:rsidP="00913757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7F3B7A">
        <w:rPr>
          <w:rFonts w:eastAsia="Times New Roman"/>
          <w:sz w:val="24"/>
          <w:szCs w:val="24"/>
        </w:rPr>
        <w:t>Zakład Ubezpieczeń Społecznych</w:t>
      </w:r>
      <w:r w:rsidR="00913757">
        <w:rPr>
          <w:rFonts w:eastAsia="Times New Roman"/>
          <w:sz w:val="24"/>
          <w:szCs w:val="24"/>
        </w:rPr>
        <w:t>.</w:t>
      </w:r>
    </w:p>
    <w:p w:rsidR="00412E51" w:rsidRPr="00937B69" w:rsidRDefault="00913757" w:rsidP="00913757">
      <w:pPr>
        <w:pStyle w:val="Akapitzlist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ind w:left="714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Urząd Skarbowy w Pleszewie.</w:t>
      </w:r>
    </w:p>
    <w:p w:rsidR="00412E51" w:rsidRPr="00412E51" w:rsidRDefault="00412E51" w:rsidP="00412E51">
      <w:pPr>
        <w:ind w:left="720"/>
        <w:contextualSpacing/>
        <w:rPr>
          <w:rFonts w:eastAsia="Times New Roman"/>
          <w:color w:val="FF0000"/>
          <w:sz w:val="24"/>
          <w:szCs w:val="24"/>
        </w:rPr>
      </w:pPr>
    </w:p>
    <w:p w:rsidR="00412E51" w:rsidRPr="00412E51" w:rsidRDefault="00412E51" w:rsidP="00412E51">
      <w:pPr>
        <w:widowControl/>
        <w:shd w:val="clear" w:color="auto" w:fill="FFFFFF"/>
        <w:autoSpaceDE/>
        <w:autoSpaceDN/>
        <w:adjustRightInd/>
        <w:spacing w:after="160" w:line="480" w:lineRule="auto"/>
        <w:ind w:left="644"/>
        <w:contextualSpacing/>
        <w:jc w:val="both"/>
        <w:rPr>
          <w:rFonts w:eastAsia="Times New Roman"/>
          <w:color w:val="FF0000"/>
          <w:sz w:val="24"/>
          <w:szCs w:val="24"/>
        </w:rPr>
      </w:pPr>
    </w:p>
    <w:p w:rsidR="008C7A42" w:rsidRDefault="008C7A42" w:rsidP="00361BF1">
      <w:pPr>
        <w:jc w:val="both"/>
        <w:rPr>
          <w:rFonts w:eastAsiaTheme="minorHAnsi"/>
          <w:b/>
          <w:sz w:val="28"/>
          <w:szCs w:val="30"/>
          <w:lang w:eastAsia="en-US"/>
        </w:rPr>
      </w:pPr>
    </w:p>
    <w:sectPr w:rsidR="008C7A42" w:rsidSect="003A3CB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C4" w:rsidRDefault="00583DC4" w:rsidP="00D33B2A">
      <w:r>
        <w:separator/>
      </w:r>
    </w:p>
  </w:endnote>
  <w:endnote w:type="continuationSeparator" w:id="0">
    <w:p w:rsidR="00583DC4" w:rsidRDefault="00583DC4" w:rsidP="00D3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og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C4" w:rsidRDefault="00583DC4" w:rsidP="00D33B2A">
      <w:r>
        <w:separator/>
      </w:r>
    </w:p>
  </w:footnote>
  <w:footnote w:type="continuationSeparator" w:id="0">
    <w:p w:rsidR="00583DC4" w:rsidRDefault="00583DC4" w:rsidP="00D3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FAC44E4"/>
    <w:lvl w:ilvl="0">
      <w:numFmt w:val="bullet"/>
      <w:lvlText w:val="*"/>
      <w:lvlJc w:val="left"/>
    </w:lvl>
  </w:abstractNum>
  <w:abstractNum w:abstractNumId="1" w15:restartNumberingAfterBreak="0">
    <w:nsid w:val="03157601"/>
    <w:multiLevelType w:val="hybridMultilevel"/>
    <w:tmpl w:val="38C0A3AE"/>
    <w:lvl w:ilvl="0" w:tplc="D8A6FD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255F"/>
    <w:multiLevelType w:val="multilevel"/>
    <w:tmpl w:val="FEC0CC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B15C33"/>
    <w:multiLevelType w:val="hybridMultilevel"/>
    <w:tmpl w:val="ABA697AA"/>
    <w:lvl w:ilvl="0" w:tplc="7D941C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08396C"/>
    <w:multiLevelType w:val="hybridMultilevel"/>
    <w:tmpl w:val="0042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1A73"/>
    <w:multiLevelType w:val="hybridMultilevel"/>
    <w:tmpl w:val="74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534"/>
    <w:multiLevelType w:val="hybridMultilevel"/>
    <w:tmpl w:val="B482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91F02"/>
    <w:multiLevelType w:val="hybridMultilevel"/>
    <w:tmpl w:val="8B084A02"/>
    <w:lvl w:ilvl="0" w:tplc="7D941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B5E34"/>
    <w:multiLevelType w:val="hybridMultilevel"/>
    <w:tmpl w:val="BE5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178B"/>
    <w:multiLevelType w:val="hybridMultilevel"/>
    <w:tmpl w:val="9EE07060"/>
    <w:lvl w:ilvl="0" w:tplc="4C3CE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06BBB"/>
    <w:multiLevelType w:val="multilevel"/>
    <w:tmpl w:val="5A7E19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6332501A"/>
    <w:multiLevelType w:val="hybridMultilevel"/>
    <w:tmpl w:val="AB58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E248D"/>
    <w:multiLevelType w:val="multilevel"/>
    <w:tmpl w:val="C42EC96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D755A0"/>
    <w:multiLevelType w:val="hybridMultilevel"/>
    <w:tmpl w:val="FFB0CE3E"/>
    <w:lvl w:ilvl="0" w:tplc="B428E18C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26066D"/>
    <w:multiLevelType w:val="hybridMultilevel"/>
    <w:tmpl w:val="646C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E3181"/>
    <w:multiLevelType w:val="hybridMultilevel"/>
    <w:tmpl w:val="8CDE8242"/>
    <w:lvl w:ilvl="0" w:tplc="7D941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12829"/>
    <w:multiLevelType w:val="hybridMultilevel"/>
    <w:tmpl w:val="4BD6B890"/>
    <w:lvl w:ilvl="0" w:tplc="9F1A2B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9"/>
  </w:num>
  <w:num w:numId="9">
    <w:abstractNumId w:val="16"/>
  </w:num>
  <w:num w:numId="10">
    <w:abstractNumId w:val="1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4"/>
  </w:num>
  <w:num w:numId="16">
    <w:abstractNumId w:val="4"/>
  </w:num>
  <w:num w:numId="17">
    <w:abstractNumId w:val="8"/>
  </w:num>
  <w:num w:numId="18">
    <w:abstractNumId w:val="10"/>
  </w:num>
  <w:num w:numId="19">
    <w:abstractNumId w:val="12"/>
  </w:num>
  <w:num w:numId="20">
    <w:abstractNumId w:val="7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BB"/>
    <w:rsid w:val="00016825"/>
    <w:rsid w:val="00025864"/>
    <w:rsid w:val="0005017D"/>
    <w:rsid w:val="00071D87"/>
    <w:rsid w:val="00073476"/>
    <w:rsid w:val="00086350"/>
    <w:rsid w:val="000B5D6F"/>
    <w:rsid w:val="000B79E8"/>
    <w:rsid w:val="00104957"/>
    <w:rsid w:val="00131BCE"/>
    <w:rsid w:val="0013456F"/>
    <w:rsid w:val="001430AB"/>
    <w:rsid w:val="001D3ADD"/>
    <w:rsid w:val="001F28A3"/>
    <w:rsid w:val="00230323"/>
    <w:rsid w:val="00246FBD"/>
    <w:rsid w:val="002718C4"/>
    <w:rsid w:val="002A0B7A"/>
    <w:rsid w:val="002A65AA"/>
    <w:rsid w:val="002B1036"/>
    <w:rsid w:val="002F1897"/>
    <w:rsid w:val="00322B02"/>
    <w:rsid w:val="00343398"/>
    <w:rsid w:val="00346261"/>
    <w:rsid w:val="00355FD6"/>
    <w:rsid w:val="00361BF1"/>
    <w:rsid w:val="003655E8"/>
    <w:rsid w:val="003A3CB6"/>
    <w:rsid w:val="003E0F09"/>
    <w:rsid w:val="003F031C"/>
    <w:rsid w:val="00412E51"/>
    <w:rsid w:val="0043367D"/>
    <w:rsid w:val="00451E33"/>
    <w:rsid w:val="00452CAF"/>
    <w:rsid w:val="004818BB"/>
    <w:rsid w:val="004876EF"/>
    <w:rsid w:val="004B424E"/>
    <w:rsid w:val="004C5BA5"/>
    <w:rsid w:val="004C6B28"/>
    <w:rsid w:val="004F5C6C"/>
    <w:rsid w:val="005079B2"/>
    <w:rsid w:val="0051484A"/>
    <w:rsid w:val="00534ED0"/>
    <w:rsid w:val="00582847"/>
    <w:rsid w:val="00583DC4"/>
    <w:rsid w:val="00593361"/>
    <w:rsid w:val="005A1484"/>
    <w:rsid w:val="005A7EB2"/>
    <w:rsid w:val="005C7807"/>
    <w:rsid w:val="005D2BBF"/>
    <w:rsid w:val="005E5B00"/>
    <w:rsid w:val="005F6510"/>
    <w:rsid w:val="006253E3"/>
    <w:rsid w:val="00645D50"/>
    <w:rsid w:val="00690E22"/>
    <w:rsid w:val="006C2464"/>
    <w:rsid w:val="006D1DD1"/>
    <w:rsid w:val="006E64D1"/>
    <w:rsid w:val="00731CD9"/>
    <w:rsid w:val="00755B74"/>
    <w:rsid w:val="00757B24"/>
    <w:rsid w:val="007958A5"/>
    <w:rsid w:val="007D6309"/>
    <w:rsid w:val="007F3B7A"/>
    <w:rsid w:val="008070B7"/>
    <w:rsid w:val="00826485"/>
    <w:rsid w:val="00894976"/>
    <w:rsid w:val="008A67ED"/>
    <w:rsid w:val="008A7E16"/>
    <w:rsid w:val="008C7A42"/>
    <w:rsid w:val="009110BA"/>
    <w:rsid w:val="00913757"/>
    <w:rsid w:val="00914872"/>
    <w:rsid w:val="009340D5"/>
    <w:rsid w:val="0093707C"/>
    <w:rsid w:val="00937B69"/>
    <w:rsid w:val="009472EA"/>
    <w:rsid w:val="00952758"/>
    <w:rsid w:val="0097217A"/>
    <w:rsid w:val="009907A0"/>
    <w:rsid w:val="00992275"/>
    <w:rsid w:val="009A06E9"/>
    <w:rsid w:val="009A32C1"/>
    <w:rsid w:val="009C0194"/>
    <w:rsid w:val="009C0D0B"/>
    <w:rsid w:val="009D7809"/>
    <w:rsid w:val="009E3DD2"/>
    <w:rsid w:val="00A13B4A"/>
    <w:rsid w:val="00A44951"/>
    <w:rsid w:val="00A53881"/>
    <w:rsid w:val="00A6534D"/>
    <w:rsid w:val="00A73BEE"/>
    <w:rsid w:val="00AC46AA"/>
    <w:rsid w:val="00AE5398"/>
    <w:rsid w:val="00B02C5E"/>
    <w:rsid w:val="00B149E7"/>
    <w:rsid w:val="00B22ECD"/>
    <w:rsid w:val="00B64E8C"/>
    <w:rsid w:val="00B749BE"/>
    <w:rsid w:val="00B93141"/>
    <w:rsid w:val="00C17F5B"/>
    <w:rsid w:val="00C62B19"/>
    <w:rsid w:val="00C7607E"/>
    <w:rsid w:val="00C854BB"/>
    <w:rsid w:val="00CB424E"/>
    <w:rsid w:val="00CE1A3F"/>
    <w:rsid w:val="00CE3E2A"/>
    <w:rsid w:val="00D008C1"/>
    <w:rsid w:val="00D010D9"/>
    <w:rsid w:val="00D03463"/>
    <w:rsid w:val="00D14D4E"/>
    <w:rsid w:val="00D23BD7"/>
    <w:rsid w:val="00D33B2A"/>
    <w:rsid w:val="00DB653D"/>
    <w:rsid w:val="00DB700E"/>
    <w:rsid w:val="00DC5516"/>
    <w:rsid w:val="00DD1DD5"/>
    <w:rsid w:val="00E2150A"/>
    <w:rsid w:val="00E46154"/>
    <w:rsid w:val="00E826F9"/>
    <w:rsid w:val="00E84045"/>
    <w:rsid w:val="00EB77A3"/>
    <w:rsid w:val="00ED065E"/>
    <w:rsid w:val="00ED21EC"/>
    <w:rsid w:val="00F14CBB"/>
    <w:rsid w:val="00F434A3"/>
    <w:rsid w:val="00F45F53"/>
    <w:rsid w:val="00F51A11"/>
    <w:rsid w:val="00F75A44"/>
    <w:rsid w:val="00FA2B4F"/>
    <w:rsid w:val="00FC1A3B"/>
    <w:rsid w:val="00FC3F47"/>
    <w:rsid w:val="00FD4AE7"/>
    <w:rsid w:val="00FD4CC2"/>
    <w:rsid w:val="00FF220B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19251-8D66-40E7-B8C0-228CFE9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2ECD"/>
    <w:pPr>
      <w:keepNext/>
      <w:widowControl/>
      <w:autoSpaceDE/>
      <w:autoSpaceDN/>
      <w:adjustRightInd/>
      <w:outlineLvl w:val="0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93361"/>
    <w:pPr>
      <w:widowControl/>
      <w:suppressAutoHyphens/>
      <w:autoSpaceDE/>
      <w:autoSpaceDN/>
      <w:adjustRightInd/>
    </w:pPr>
    <w:rPr>
      <w:rFonts w:ascii="Copperplate Gothic Bold" w:eastAsia="Times New Roman" w:hAnsi="Copperplate Gothic Bold" w:cs="Wingdings"/>
      <w:color w:val="0000FF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93361"/>
    <w:rPr>
      <w:rFonts w:ascii="Copperplate Gothic Bold" w:eastAsia="Times New Roman" w:hAnsi="Copperplate Gothic Bold" w:cs="Wingdings"/>
      <w:color w:val="0000FF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93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22E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F45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5E8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3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22B0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F434A3"/>
  </w:style>
  <w:style w:type="character" w:styleId="Pogrubienie">
    <w:name w:val="Strong"/>
    <w:basedOn w:val="Domylnaczcionkaakapitu"/>
    <w:uiPriority w:val="22"/>
    <w:qFormat/>
    <w:rsid w:val="00F434A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2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3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2A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'Liczba osob bezrobotnych w 2017'!$A$1:$A$12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 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 </c:v>
                </c:pt>
                <c:pt idx="10">
                  <c:v>Listopad </c:v>
                </c:pt>
                <c:pt idx="11">
                  <c:v>Grudzień</c:v>
                </c:pt>
              </c:strCache>
            </c:strRef>
          </c:cat>
          <c:val>
            <c:numRef>
              <c:f>'Liczba osob bezrobotnych w 2017'!$B$1:$B$12</c:f>
              <c:numCache>
                <c:formatCode>General</c:formatCode>
                <c:ptCount val="12"/>
                <c:pt idx="0">
                  <c:v>929</c:v>
                </c:pt>
                <c:pt idx="1">
                  <c:v>920</c:v>
                </c:pt>
                <c:pt idx="2">
                  <c:v>879</c:v>
                </c:pt>
                <c:pt idx="3">
                  <c:v>833</c:v>
                </c:pt>
                <c:pt idx="4">
                  <c:v>828</c:v>
                </c:pt>
                <c:pt idx="5">
                  <c:v>820</c:v>
                </c:pt>
                <c:pt idx="6">
                  <c:v>841</c:v>
                </c:pt>
                <c:pt idx="7">
                  <c:v>866</c:v>
                </c:pt>
                <c:pt idx="8">
                  <c:v>885</c:v>
                </c:pt>
                <c:pt idx="9">
                  <c:v>913</c:v>
                </c:pt>
                <c:pt idx="10">
                  <c:v>930</c:v>
                </c:pt>
                <c:pt idx="11">
                  <c:v>983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27-43F2-8679-33E614D92B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70866016"/>
        <c:axId val="275774992"/>
      </c:barChart>
      <c:catAx>
        <c:axId val="27086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5774992"/>
        <c:crosses val="autoZero"/>
        <c:auto val="1"/>
        <c:lblAlgn val="ctr"/>
        <c:lblOffset val="100"/>
        <c:noMultiLvlLbl val="0"/>
      </c:catAx>
      <c:valAx>
        <c:axId val="275774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0866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Tabela!$G$14</c:f>
              <c:strCache>
                <c:ptCount val="1"/>
                <c:pt idx="0">
                  <c:v>Polska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Tabela!$F$15:$F$23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Tabela!$G$15:$G$23</c:f>
              <c:numCache>
                <c:formatCode>0.0</c:formatCode>
                <c:ptCount val="9"/>
                <c:pt idx="0">
                  <c:v>12.5</c:v>
                </c:pt>
                <c:pt idx="1">
                  <c:v>13.4</c:v>
                </c:pt>
                <c:pt idx="2">
                  <c:v>13.4</c:v>
                </c:pt>
                <c:pt idx="3">
                  <c:v>11.5</c:v>
                </c:pt>
                <c:pt idx="4">
                  <c:v>9.8000000000000007</c:v>
                </c:pt>
                <c:pt idx="5">
                  <c:v>8.3000000000000007</c:v>
                </c:pt>
                <c:pt idx="6">
                  <c:v>6.6</c:v>
                </c:pt>
                <c:pt idx="7">
                  <c:v>5.8</c:v>
                </c:pt>
                <c:pt idx="8">
                  <c:v>5.2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Tabela!$H$14</c:f>
              <c:strCache>
                <c:ptCount val="1"/>
                <c:pt idx="0">
                  <c:v>Wielkopolska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Tabela!$F$15:$F$23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Tabela!$H$15:$H$23</c:f>
              <c:numCache>
                <c:formatCode>0.0</c:formatCode>
                <c:ptCount val="9"/>
                <c:pt idx="0">
                  <c:v>9.1</c:v>
                </c:pt>
                <c:pt idx="1">
                  <c:v>9.9</c:v>
                </c:pt>
                <c:pt idx="2">
                  <c:v>9.6</c:v>
                </c:pt>
                <c:pt idx="3">
                  <c:v>7.8</c:v>
                </c:pt>
                <c:pt idx="4">
                  <c:v>6.2</c:v>
                </c:pt>
                <c:pt idx="5">
                  <c:v>5</c:v>
                </c:pt>
                <c:pt idx="6">
                  <c:v>3.7</c:v>
                </c:pt>
                <c:pt idx="7">
                  <c:v>3.1</c:v>
                </c:pt>
                <c:pt idx="8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Tabela!$I$14</c:f>
              <c:strCache>
                <c:ptCount val="1"/>
                <c:pt idx="0">
                  <c:v>Powiat Pleszewski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Tabela!$F$15:$F$23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Tabela!$I$15:$I$23</c:f>
              <c:numCache>
                <c:formatCode>0.0</c:formatCode>
                <c:ptCount val="9"/>
                <c:pt idx="0">
                  <c:v>12.6</c:v>
                </c:pt>
                <c:pt idx="1">
                  <c:v>13</c:v>
                </c:pt>
                <c:pt idx="2">
                  <c:v>14.7</c:v>
                </c:pt>
                <c:pt idx="3">
                  <c:v>9.6</c:v>
                </c:pt>
                <c:pt idx="4">
                  <c:v>6.9</c:v>
                </c:pt>
                <c:pt idx="5">
                  <c:v>5.5</c:v>
                </c:pt>
                <c:pt idx="6">
                  <c:v>3.7</c:v>
                </c:pt>
                <c:pt idx="7">
                  <c:v>3.6</c:v>
                </c:pt>
                <c:pt idx="8">
                  <c:v>3.9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5775776"/>
        <c:axId val="275776168"/>
      </c:lineChart>
      <c:catAx>
        <c:axId val="27577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75776168"/>
        <c:crosses val="autoZero"/>
        <c:auto val="1"/>
        <c:lblAlgn val="ctr"/>
        <c:lblOffset val="100"/>
        <c:noMultiLvlLbl val="0"/>
      </c:catAx>
      <c:valAx>
        <c:axId val="2757761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27577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Tabela!$F$30:$F$41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Tabela!$G$30:$G$41</c:f>
              <c:numCache>
                <c:formatCode>General</c:formatCode>
                <c:ptCount val="12"/>
                <c:pt idx="0">
                  <c:v>929</c:v>
                </c:pt>
                <c:pt idx="1">
                  <c:v>920</c:v>
                </c:pt>
                <c:pt idx="2">
                  <c:v>879</c:v>
                </c:pt>
                <c:pt idx="3">
                  <c:v>833</c:v>
                </c:pt>
                <c:pt idx="4">
                  <c:v>828</c:v>
                </c:pt>
                <c:pt idx="5">
                  <c:v>820</c:v>
                </c:pt>
                <c:pt idx="6">
                  <c:v>841</c:v>
                </c:pt>
                <c:pt idx="7">
                  <c:v>866</c:v>
                </c:pt>
                <c:pt idx="8">
                  <c:v>885</c:v>
                </c:pt>
                <c:pt idx="9">
                  <c:v>913</c:v>
                </c:pt>
                <c:pt idx="10">
                  <c:v>930</c:v>
                </c:pt>
                <c:pt idx="11">
                  <c:v>983</c:v>
                </c:pt>
              </c:numCache>
            </c:numRef>
          </c:val>
        </c:ser>
        <c:ser>
          <c:idx val="1"/>
          <c:order val="1"/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Tabela!$F$30:$F$41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Tabela!$H$30:$H$41</c:f>
              <c:numCache>
                <c:formatCode>General</c:formatCode>
                <c:ptCount val="12"/>
                <c:pt idx="0">
                  <c:v>184</c:v>
                </c:pt>
                <c:pt idx="1">
                  <c:v>200</c:v>
                </c:pt>
                <c:pt idx="2">
                  <c:v>190</c:v>
                </c:pt>
                <c:pt idx="3">
                  <c:v>169</c:v>
                </c:pt>
                <c:pt idx="4">
                  <c:v>162</c:v>
                </c:pt>
                <c:pt idx="5">
                  <c:v>165</c:v>
                </c:pt>
                <c:pt idx="6">
                  <c:v>160</c:v>
                </c:pt>
                <c:pt idx="7">
                  <c:v>160</c:v>
                </c:pt>
                <c:pt idx="8">
                  <c:v>157</c:v>
                </c:pt>
                <c:pt idx="9">
                  <c:v>161</c:v>
                </c:pt>
                <c:pt idx="10">
                  <c:v>171</c:v>
                </c:pt>
                <c:pt idx="11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49469800"/>
        <c:axId val="149470192"/>
        <c:axId val="0"/>
      </c:bar3DChart>
      <c:catAx>
        <c:axId val="149469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9470192"/>
        <c:crosses val="autoZero"/>
        <c:auto val="1"/>
        <c:lblAlgn val="ctr"/>
        <c:lblOffset val="100"/>
        <c:noMultiLvlLbl val="0"/>
      </c:catAx>
      <c:valAx>
        <c:axId val="14947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9469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3727034120735"/>
          <c:y val="7.407407407407407E-2"/>
          <c:w val="0.81117585301837269"/>
          <c:h val="0.8416746864975212"/>
        </c:manualLayout>
      </c:layout>
      <c:bubbleChart>
        <c:varyColors val="0"/>
        <c:ser>
          <c:idx val="0"/>
          <c:order val="0"/>
          <c:tx>
            <c:strRef>
              <c:f>Tabela!$E$48</c:f>
              <c:strCache>
                <c:ptCount val="1"/>
                <c:pt idx="0">
                  <c:v>kwota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Calibri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xVal>
            <c:numRef>
              <c:f>Tabela!$D$49:$D$52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xVal>
          <c:yVal>
            <c:numRef>
              <c:f>Tabela!$E$49:$E$52</c:f>
              <c:numCache>
                <c:formatCode>0.00</c:formatCode>
                <c:ptCount val="4"/>
                <c:pt idx="0">
                  <c:v>845</c:v>
                </c:pt>
                <c:pt idx="1">
                  <c:v>610</c:v>
                </c:pt>
                <c:pt idx="2">
                  <c:v>328.7</c:v>
                </c:pt>
                <c:pt idx="3">
                  <c:v>927.7</c:v>
                </c:pt>
              </c:numCache>
            </c:numRef>
          </c:yVal>
          <c:bubbleSize>
            <c:numLit>
              <c:formatCode>General</c:formatCode>
              <c:ptCount val="4"/>
              <c:pt idx="0">
                <c:v>1</c:v>
              </c:pt>
              <c:pt idx="1">
                <c:v>1</c:v>
              </c:pt>
              <c:pt idx="2">
                <c:v>1</c:v>
              </c:pt>
              <c:pt idx="3">
                <c:v>1</c:v>
              </c:pt>
            </c:numLit>
          </c:bubbleSize>
          <c:bubble3D val="1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bubbleScale val="100"/>
        <c:showNegBubbles val="0"/>
        <c:axId val="149470976"/>
        <c:axId val="149471368"/>
      </c:bubbleChart>
      <c:valAx>
        <c:axId val="14947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9471368"/>
        <c:crosses val="autoZero"/>
        <c:crossBetween val="midCat"/>
      </c:valAx>
      <c:valAx>
        <c:axId val="149471368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94709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72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>
      <a:latin typeface="Calibri"/>
    </cs:defRPr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B78E-E153-4B33-88A1-B396720E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12</Pages>
  <Words>2706</Words>
  <Characters>16239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Pleszew</dc:creator>
  <cp:keywords/>
  <dc:description/>
  <cp:lastModifiedBy>Pup Pleszew</cp:lastModifiedBy>
  <cp:revision>99</cp:revision>
  <cp:lastPrinted>2020-06-08T08:41:00Z</cp:lastPrinted>
  <dcterms:created xsi:type="dcterms:W3CDTF">2017-02-22T07:49:00Z</dcterms:created>
  <dcterms:modified xsi:type="dcterms:W3CDTF">2020-06-08T11:23:00Z</dcterms:modified>
</cp:coreProperties>
</file>